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04AF5" w14:textId="4A9627C2" w:rsidR="0041775C" w:rsidRPr="007E28D4" w:rsidRDefault="00021C78" w:rsidP="00072C7D">
      <w:pPr>
        <w:ind w:left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E28D4">
        <w:rPr>
          <w:rFonts w:ascii="Times New Roman" w:hAnsi="Times New Roman" w:cs="Times New Roman"/>
          <w:sz w:val="28"/>
          <w:szCs w:val="28"/>
        </w:rPr>
        <w:t>Проє</w:t>
      </w:r>
      <w:r w:rsidR="0041775C" w:rsidRPr="007E28D4">
        <w:rPr>
          <w:rFonts w:ascii="Times New Roman" w:hAnsi="Times New Roman" w:cs="Times New Roman"/>
          <w:sz w:val="28"/>
          <w:szCs w:val="28"/>
        </w:rPr>
        <w:t xml:space="preserve">кт вноситься </w:t>
      </w:r>
    </w:p>
    <w:p w14:paraId="15382836" w14:textId="1E67E92F" w:rsidR="00580AF7" w:rsidRPr="007E28D4" w:rsidRDefault="00B442B9" w:rsidP="00072C7D">
      <w:pPr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народним депутат</w:t>
      </w:r>
      <w:r w:rsidR="001B1BBF" w:rsidRPr="007E28D4">
        <w:rPr>
          <w:rFonts w:ascii="Times New Roman" w:hAnsi="Times New Roman" w:cs="Times New Roman"/>
          <w:sz w:val="28"/>
          <w:szCs w:val="28"/>
        </w:rPr>
        <w:t xml:space="preserve">ом </w:t>
      </w:r>
      <w:r w:rsidRPr="007E28D4">
        <w:rPr>
          <w:rFonts w:ascii="Times New Roman" w:hAnsi="Times New Roman" w:cs="Times New Roman"/>
          <w:sz w:val="28"/>
          <w:szCs w:val="28"/>
        </w:rPr>
        <w:t>України</w:t>
      </w:r>
    </w:p>
    <w:p w14:paraId="024EA6F6" w14:textId="77777777" w:rsidR="001B1BBF" w:rsidRPr="007E28D4" w:rsidRDefault="001B1BBF" w:rsidP="00072C7D">
      <w:pPr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14:paraId="6F37871C" w14:textId="52052862" w:rsidR="007C294B" w:rsidRPr="003A14E6" w:rsidRDefault="001B1BBF" w:rsidP="00072C7D">
      <w:pPr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A14E6">
        <w:rPr>
          <w:rFonts w:ascii="Times New Roman" w:hAnsi="Times New Roman" w:cs="Times New Roman"/>
          <w:b/>
          <w:sz w:val="28"/>
          <w:szCs w:val="28"/>
        </w:rPr>
        <w:t>С.В. Шаховим</w:t>
      </w:r>
    </w:p>
    <w:p w14:paraId="266B52CC" w14:textId="77777777" w:rsidR="0041775C" w:rsidRPr="007E28D4" w:rsidRDefault="0041775C" w:rsidP="00814298">
      <w:pPr>
        <w:pStyle w:val="a3"/>
        <w:spacing w:before="480" w:line="276" w:lineRule="auto"/>
        <w:rPr>
          <w:rFonts w:ascii="Times New Roman" w:hAnsi="Times New Roman"/>
          <w:i w:val="0"/>
          <w:sz w:val="32"/>
          <w:szCs w:val="32"/>
        </w:rPr>
      </w:pPr>
      <w:r w:rsidRPr="007E28D4">
        <w:rPr>
          <w:rFonts w:ascii="Times New Roman" w:hAnsi="Times New Roman"/>
          <w:i w:val="0"/>
          <w:sz w:val="32"/>
          <w:szCs w:val="32"/>
        </w:rPr>
        <w:t>Закон УкраЇни</w:t>
      </w:r>
    </w:p>
    <w:p w14:paraId="28AA657E" w14:textId="77777777" w:rsidR="00286C3B" w:rsidRDefault="00A95304" w:rsidP="00814298">
      <w:pPr>
        <w:spacing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8D4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Податкового кодексу України </w:t>
      </w:r>
    </w:p>
    <w:p w14:paraId="40E14FC3" w14:textId="2C04656C" w:rsidR="0041775C" w:rsidRPr="007E28D4" w:rsidRDefault="007E28D4" w:rsidP="00814298">
      <w:pPr>
        <w:spacing w:line="27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A95304" w:rsidRPr="007E28D4">
        <w:rPr>
          <w:rFonts w:ascii="Times New Roman" w:hAnsi="Times New Roman" w:cs="Times New Roman"/>
          <w:b/>
          <w:sz w:val="28"/>
          <w:szCs w:val="28"/>
        </w:rPr>
        <w:t>щодо покращення адміністрування окремих податків і зборів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A95304" w:rsidRPr="007E28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08C3EEF" w14:textId="1D9D8541" w:rsidR="0041775C" w:rsidRPr="007E28D4" w:rsidRDefault="0041775C" w:rsidP="00814298">
      <w:pPr>
        <w:spacing w:line="276" w:lineRule="auto"/>
        <w:ind w:left="0"/>
        <w:rPr>
          <w:b/>
        </w:rPr>
      </w:pPr>
    </w:p>
    <w:p w14:paraId="4F574425" w14:textId="77777777" w:rsidR="00A15257" w:rsidRPr="007E28D4" w:rsidRDefault="0041775C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8D4">
        <w:rPr>
          <w:rFonts w:ascii="Times New Roman" w:hAnsi="Times New Roman" w:cs="Times New Roman"/>
          <w:b/>
          <w:sz w:val="28"/>
          <w:szCs w:val="28"/>
        </w:rPr>
        <w:t>Верховна Рада України п о с т а н о в л я є :</w:t>
      </w:r>
    </w:p>
    <w:p w14:paraId="104A32D1" w14:textId="77777777" w:rsidR="007E28D4" w:rsidRPr="007E28D4" w:rsidRDefault="007E28D4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DE19E1" w14:textId="35BFE4C8" w:rsidR="0041775C" w:rsidRPr="007E28D4" w:rsidRDefault="007126AC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8D4">
        <w:rPr>
          <w:rFonts w:ascii="Times New Roman" w:hAnsi="Times New Roman" w:cs="Times New Roman"/>
          <w:b/>
          <w:sz w:val="28"/>
          <w:szCs w:val="28"/>
        </w:rPr>
        <w:t>I. Внести до Податкового кодексу України (Відомості Верховної Ради України, 2011 р., №№ 13-17, ст. 112) такі зміни:</w:t>
      </w:r>
    </w:p>
    <w:p w14:paraId="098C3194" w14:textId="77777777" w:rsidR="007E28D4" w:rsidRPr="007E28D4" w:rsidRDefault="007E28D4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B891D1" w14:textId="62792B36" w:rsidR="007126AC" w:rsidRPr="007E28D4" w:rsidRDefault="007126AC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 xml:space="preserve">1. </w:t>
      </w:r>
      <w:r w:rsidR="00552274" w:rsidRPr="007E28D4">
        <w:rPr>
          <w:rFonts w:ascii="Times New Roman" w:hAnsi="Times New Roman" w:cs="Times New Roman"/>
          <w:sz w:val="28"/>
          <w:szCs w:val="28"/>
        </w:rPr>
        <w:t>Підпункт</w:t>
      </w:r>
      <w:r w:rsidRPr="007E28D4">
        <w:rPr>
          <w:rFonts w:ascii="Times New Roman" w:hAnsi="Times New Roman" w:cs="Times New Roman"/>
          <w:sz w:val="28"/>
          <w:szCs w:val="28"/>
        </w:rPr>
        <w:t xml:space="preserve"> 14.1</w:t>
      </w:r>
      <w:r w:rsidR="00552274" w:rsidRPr="007E28D4">
        <w:rPr>
          <w:rFonts w:ascii="Times New Roman" w:hAnsi="Times New Roman" w:cs="Times New Roman"/>
          <w:sz w:val="28"/>
          <w:szCs w:val="28"/>
        </w:rPr>
        <w:t>.6. пункту 14.1</w:t>
      </w:r>
      <w:r w:rsidRPr="007E28D4">
        <w:rPr>
          <w:rFonts w:ascii="Times New Roman" w:hAnsi="Times New Roman" w:cs="Times New Roman"/>
          <w:sz w:val="28"/>
          <w:szCs w:val="28"/>
        </w:rPr>
        <w:t xml:space="preserve"> статті 14 </w:t>
      </w:r>
      <w:r w:rsidR="00552274" w:rsidRPr="007E28D4">
        <w:rPr>
          <w:rFonts w:ascii="Times New Roman" w:hAnsi="Times New Roman" w:cs="Times New Roman"/>
          <w:sz w:val="28"/>
          <w:szCs w:val="28"/>
        </w:rPr>
        <w:t xml:space="preserve">після підпункту «г» </w:t>
      </w:r>
      <w:r w:rsidRPr="007E28D4">
        <w:rPr>
          <w:rFonts w:ascii="Times New Roman" w:hAnsi="Times New Roman" w:cs="Times New Roman"/>
          <w:sz w:val="28"/>
          <w:szCs w:val="28"/>
        </w:rPr>
        <w:t xml:space="preserve">доповнити </w:t>
      </w:r>
      <w:r w:rsidR="00F83F9B" w:rsidRPr="007E28D4">
        <w:rPr>
          <w:rFonts w:ascii="Times New Roman" w:hAnsi="Times New Roman" w:cs="Times New Roman"/>
          <w:sz w:val="28"/>
          <w:szCs w:val="28"/>
        </w:rPr>
        <w:t xml:space="preserve">новим </w:t>
      </w:r>
      <w:r w:rsidR="00552274" w:rsidRPr="007E28D4">
        <w:rPr>
          <w:rFonts w:ascii="Times New Roman" w:hAnsi="Times New Roman" w:cs="Times New Roman"/>
          <w:sz w:val="28"/>
          <w:szCs w:val="28"/>
        </w:rPr>
        <w:t xml:space="preserve">підпунктом «д» </w:t>
      </w:r>
      <w:r w:rsidRPr="007E28D4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14:paraId="0F718A5F" w14:textId="66569184" w:rsidR="00552274" w:rsidRDefault="00552274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«</w:t>
      </w:r>
      <w:r w:rsidR="007E28D4" w:rsidRPr="007E28D4">
        <w:rPr>
          <w:rFonts w:ascii="Times New Roman" w:hAnsi="Times New Roman" w:cs="Times New Roman"/>
          <w:sz w:val="28"/>
          <w:szCs w:val="28"/>
        </w:rPr>
        <w:t xml:space="preserve"> </w:t>
      </w:r>
      <w:r w:rsidRPr="007E28D4">
        <w:rPr>
          <w:rFonts w:ascii="Times New Roman" w:hAnsi="Times New Roman" w:cs="Times New Roman"/>
          <w:sz w:val="28"/>
          <w:szCs w:val="28"/>
        </w:rPr>
        <w:t>д) приміщення або територія незалежно від загальної місткості розташованих ємностей для навантаження-розвантаження та зберігання пального, власником або користувачем яких є суб’єкт господарювання який використовує пальне, що зберігається в такому приміщенні або на такій території виключно для ремонту, будівництва та виробничо-технологічного обслуговування автомобільних доріг загального користування, залізничних колій загального користування і не здійснює операцій з реалізації та зберігання пального іншим особам.»;</w:t>
      </w:r>
    </w:p>
    <w:p w14:paraId="123A92E6" w14:textId="77777777" w:rsidR="007E28D4" w:rsidRPr="007E28D4" w:rsidRDefault="007E28D4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91DFC4" w14:textId="7A48CA50" w:rsidR="007126AC" w:rsidRPr="007E28D4" w:rsidRDefault="00552274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 xml:space="preserve">2. </w:t>
      </w:r>
      <w:r w:rsidR="00C15D45" w:rsidRPr="007E28D4">
        <w:rPr>
          <w:rFonts w:ascii="Times New Roman" w:hAnsi="Times New Roman" w:cs="Times New Roman"/>
          <w:sz w:val="28"/>
          <w:szCs w:val="28"/>
        </w:rPr>
        <w:t xml:space="preserve">Підпункт </w:t>
      </w:r>
      <w:r w:rsidRPr="007E28D4">
        <w:rPr>
          <w:rFonts w:ascii="Times New Roman" w:hAnsi="Times New Roman" w:cs="Times New Roman"/>
          <w:sz w:val="28"/>
          <w:szCs w:val="28"/>
        </w:rPr>
        <w:t>141.4.1</w:t>
      </w:r>
      <w:r w:rsidR="00C15D45" w:rsidRPr="007E28D4">
        <w:rPr>
          <w:rFonts w:ascii="Times New Roman" w:hAnsi="Times New Roman" w:cs="Times New Roman"/>
          <w:sz w:val="28"/>
          <w:szCs w:val="28"/>
        </w:rPr>
        <w:t xml:space="preserve"> пункту 141.4 статті 141 доповнити </w:t>
      </w:r>
      <w:r w:rsidR="00F83F9B" w:rsidRPr="007E28D4">
        <w:rPr>
          <w:rFonts w:ascii="Times New Roman" w:hAnsi="Times New Roman" w:cs="Times New Roman"/>
          <w:sz w:val="28"/>
          <w:szCs w:val="28"/>
        </w:rPr>
        <w:t xml:space="preserve">новим </w:t>
      </w:r>
      <w:r w:rsidR="00C15D45" w:rsidRPr="007E28D4">
        <w:rPr>
          <w:rFonts w:ascii="Times New Roman" w:hAnsi="Times New Roman" w:cs="Times New Roman"/>
          <w:sz w:val="28"/>
          <w:szCs w:val="28"/>
        </w:rPr>
        <w:t xml:space="preserve">абзацом </w:t>
      </w:r>
      <w:r w:rsidR="00757276" w:rsidRPr="007E28D4">
        <w:rPr>
          <w:rFonts w:ascii="Times New Roman" w:hAnsi="Times New Roman" w:cs="Times New Roman"/>
          <w:sz w:val="28"/>
          <w:szCs w:val="28"/>
          <w:lang w:val="ru-RU"/>
        </w:rPr>
        <w:t>«л»</w:t>
      </w:r>
      <w:r w:rsidR="00C15D45" w:rsidRPr="007E28D4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14:paraId="7C87FE28" w14:textId="51335D9B" w:rsidR="00C15D45" w:rsidRDefault="007E28D4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« л) н</w:t>
      </w:r>
      <w:r w:rsidR="00C15D45" w:rsidRPr="007E28D4">
        <w:rPr>
          <w:rFonts w:ascii="Times New Roman" w:hAnsi="Times New Roman" w:cs="Times New Roman"/>
          <w:sz w:val="28"/>
          <w:szCs w:val="28"/>
        </w:rPr>
        <w:t>е є доходом від провадження нерезидентом (постійним представництвом цього нерезидента) господарської діяльності на території України, в розумінні цієї статті Кодексу, грошовий неповоротний внесок, який періодично сплачується на користь такого нерезидента (постійного представництва цього нерезидента), що є об'єднанням трьох або більше незалежних держав, їхніх урядів, інших міжурядових організацій, спрямоване на вирішення певних спільних питань чи організації проектів, резидентом членом такого об’єднання для забезпечення поточної діяльності об’єднання.»;</w:t>
      </w:r>
    </w:p>
    <w:p w14:paraId="6C224F54" w14:textId="77777777" w:rsidR="007E28D4" w:rsidRPr="007E28D4" w:rsidRDefault="007E28D4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990370" w14:textId="290CF729" w:rsidR="00B05DA9" w:rsidRPr="007E28D4" w:rsidRDefault="00B05DA9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7E28D4" w:rsidRPr="007E28D4">
        <w:rPr>
          <w:rFonts w:ascii="Times New Roman" w:hAnsi="Times New Roman" w:cs="Times New Roman"/>
          <w:sz w:val="28"/>
          <w:szCs w:val="28"/>
          <w:lang w:val="ru-RU"/>
        </w:rPr>
        <w:t>Підпункт</w:t>
      </w:r>
      <w:r w:rsidRPr="007E28D4">
        <w:rPr>
          <w:rFonts w:ascii="Times New Roman" w:hAnsi="Times New Roman" w:cs="Times New Roman"/>
          <w:sz w:val="28"/>
          <w:szCs w:val="28"/>
        </w:rPr>
        <w:t xml:space="preserve"> «а» підпункту 195.1.3 пункту 195.1 статті 195 викласти в такій редакції:</w:t>
      </w:r>
    </w:p>
    <w:p w14:paraId="71161057" w14:textId="3C16AF72" w:rsidR="00B05DA9" w:rsidRPr="007E28D4" w:rsidRDefault="00B05DA9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«195.1.3. постачання таких послуг:</w:t>
      </w:r>
    </w:p>
    <w:p w14:paraId="53EEB965" w14:textId="49B1E951" w:rsidR="00B05DA9" w:rsidRPr="007E28D4" w:rsidRDefault="00B05DA9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lastRenderedPageBreak/>
        <w:t xml:space="preserve"> а) міжнародні перевезення пасажирів і багажу та вантажів залізничним, автомобільним, морським і річковим та авіаційним транспортом, внутрішні перевезення пасажирів і багажу залізничним транспортом.</w:t>
      </w:r>
    </w:p>
    <w:p w14:paraId="08825B6C" w14:textId="77777777" w:rsidR="007E28D4" w:rsidRPr="007E28D4" w:rsidRDefault="00B05DA9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Для цілей цього підпункту перевезення вважається міжнародним, якщо таке перевезення здійснюється за єдиним міжнародним перевізним документом.</w:t>
      </w:r>
    </w:p>
    <w:p w14:paraId="69ED7B6D" w14:textId="0BF9FC21" w:rsidR="00B05DA9" w:rsidRDefault="00B05DA9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Перевезення вважається внутрішнім, якщо таке перевезення здійснюється територією України без перетину державного кордону України;»;</w:t>
      </w:r>
    </w:p>
    <w:p w14:paraId="7B4A382E" w14:textId="77777777" w:rsidR="007E28D4" w:rsidRPr="007E28D4" w:rsidRDefault="007E28D4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2559A9" w14:textId="73C7B412" w:rsidR="00C15D45" w:rsidRPr="007E28D4" w:rsidRDefault="00B05DA9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C15D45" w:rsidRPr="007E28D4">
        <w:rPr>
          <w:rFonts w:ascii="Times New Roman" w:hAnsi="Times New Roman" w:cs="Times New Roman"/>
          <w:sz w:val="28"/>
          <w:szCs w:val="28"/>
        </w:rPr>
        <w:t>. Підпункт 197.1.12 пункту 197.1 статті 197 викласти в такій редакції:</w:t>
      </w:r>
    </w:p>
    <w:p w14:paraId="062DBD18" w14:textId="77777777" w:rsidR="00C15D45" w:rsidRPr="007E28D4" w:rsidRDefault="00C15D45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«197.1.12. безкоштовної передачі рухомого складу одним  суб’єктом господарювання залізничного транспорту державного сектору економіки іншому суб’єкту господарювання залізничного транспорту державного сектору економіки.</w:t>
      </w:r>
    </w:p>
    <w:p w14:paraId="7AAF285F" w14:textId="77777777" w:rsidR="00C15D45" w:rsidRPr="007E28D4" w:rsidRDefault="00C15D45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 xml:space="preserve">Безкоштовна передача рухомого складу між суб’єктами господарювання залізничного транспорту державного сектору економіки проводиться на підставі рішення їх уповноваженого органу управління чи органу, що здійснює управління їх корпоративними правами. </w:t>
      </w:r>
    </w:p>
    <w:p w14:paraId="785D10BF" w14:textId="77777777" w:rsidR="00C15D45" w:rsidRPr="007E28D4" w:rsidRDefault="00C15D45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Безкоштовна передача рухомого складу оформляється актом приймання-передачі відповідно до законодавства.</w:t>
      </w:r>
    </w:p>
    <w:p w14:paraId="25585D3C" w14:textId="77777777" w:rsidR="00C15D45" w:rsidRPr="007E28D4" w:rsidRDefault="00C15D45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Безкоштовна передача здійснюється в разі:</w:t>
      </w:r>
    </w:p>
    <w:p w14:paraId="49FD855D" w14:textId="77777777" w:rsidR="00C15D45" w:rsidRPr="007E28D4" w:rsidRDefault="00C15D45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виробничої потреби у зв'язку з єдиним технологічним процесом;</w:t>
      </w:r>
    </w:p>
    <w:p w14:paraId="1DF20DF7" w14:textId="77777777" w:rsidR="00C15D45" w:rsidRPr="007E28D4" w:rsidRDefault="00C15D45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розподілу рухомого складу у зв'язку з реорганізацією, утворенням суб’єктів господарювання залізничного транспорту державного сектору економіки.</w:t>
      </w:r>
    </w:p>
    <w:p w14:paraId="5A267532" w14:textId="6286C7C4" w:rsidR="00C15D45" w:rsidRDefault="00C15D45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На дату проведення операцій з безоплатної передачі рухомого складу одним суб’єктом господарювання залізничного транспорту державного сектору економіки іншому суб’єкту господарювання залізничного транспорту державного сектору економіки у суб’єкта господарювання, який безоплатно передає рухомий склад, обов’язку нарахування податкових зобов’язань відповідно до пункту 198.5 статті 198 цього Кодексу не виникає.»;</w:t>
      </w:r>
    </w:p>
    <w:p w14:paraId="695A47DA" w14:textId="77777777" w:rsidR="007E28D4" w:rsidRPr="007E28D4" w:rsidRDefault="007E28D4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08A489" w14:textId="422F4293" w:rsidR="00E910FA" w:rsidRPr="007E28D4" w:rsidRDefault="00A95304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5</w:t>
      </w:r>
      <w:r w:rsidR="00C15D45" w:rsidRPr="007E28D4">
        <w:rPr>
          <w:rFonts w:ascii="Times New Roman" w:hAnsi="Times New Roman" w:cs="Times New Roman"/>
          <w:sz w:val="28"/>
          <w:szCs w:val="28"/>
        </w:rPr>
        <w:t>.</w:t>
      </w:r>
      <w:r w:rsidR="0041775C" w:rsidRPr="007E28D4">
        <w:rPr>
          <w:rFonts w:ascii="Times New Roman" w:hAnsi="Times New Roman" w:cs="Times New Roman"/>
          <w:sz w:val="28"/>
          <w:szCs w:val="28"/>
        </w:rPr>
        <w:t xml:space="preserve"> </w:t>
      </w:r>
      <w:r w:rsidR="00E910FA" w:rsidRPr="007E28D4">
        <w:rPr>
          <w:rFonts w:ascii="Times New Roman" w:hAnsi="Times New Roman" w:cs="Times New Roman"/>
          <w:sz w:val="28"/>
          <w:szCs w:val="28"/>
        </w:rPr>
        <w:t xml:space="preserve">Підпункт 283.1 статті 283 доповнити новим підпунктом 283.1.9 такого змісту: </w:t>
      </w:r>
    </w:p>
    <w:p w14:paraId="0C9DEEAF" w14:textId="0FBBC645" w:rsidR="00E910FA" w:rsidRDefault="00E910FA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«</w:t>
      </w:r>
      <w:r w:rsidR="00A01FF5" w:rsidRPr="007E28D4">
        <w:rPr>
          <w:rFonts w:ascii="Times New Roman" w:hAnsi="Times New Roman" w:cs="Times New Roman"/>
          <w:sz w:val="28"/>
          <w:szCs w:val="28"/>
        </w:rPr>
        <w:t xml:space="preserve">283.1.9. </w:t>
      </w:r>
      <w:r w:rsidR="008735FF" w:rsidRPr="007E28D4">
        <w:rPr>
          <w:rFonts w:ascii="Times New Roman" w:hAnsi="Times New Roman" w:cs="Times New Roman"/>
          <w:sz w:val="28"/>
          <w:szCs w:val="28"/>
        </w:rPr>
        <w:t xml:space="preserve">землі залізничного транспорту, до яких належать землі смуг відведення залізниць під залізничним полотном та його облаштуванням, станціями з усіма будівлями і спорудами енергетичного, локомотивного, вагонного, колійного, вантажного і пасажирського господарства, сигналізації та зв'язку, водопостачання, каналізації; під захисними та укріплювальними насадженнями, службовими та іншими спорудами, необхідними для </w:t>
      </w:r>
      <w:r w:rsidR="008735FF" w:rsidRPr="007E28D4">
        <w:rPr>
          <w:rFonts w:ascii="Times New Roman" w:hAnsi="Times New Roman" w:cs="Times New Roman"/>
          <w:sz w:val="28"/>
          <w:szCs w:val="28"/>
        </w:rPr>
        <w:lastRenderedPageBreak/>
        <w:t>забезпечення роботи залізничного транспорту, що перебувають у державній власності, власності державних підприємств або власності господарських товариств, у статутному капіталі яких частка держави перевищує п'ятдесят відсотків.</w:t>
      </w:r>
      <w:r w:rsidRPr="007E28D4">
        <w:rPr>
          <w:rFonts w:ascii="Times New Roman" w:hAnsi="Times New Roman" w:cs="Times New Roman"/>
          <w:sz w:val="28"/>
          <w:szCs w:val="28"/>
        </w:rPr>
        <w:t>».</w:t>
      </w:r>
    </w:p>
    <w:p w14:paraId="47835BDF" w14:textId="77777777" w:rsidR="007E28D4" w:rsidRPr="007E28D4" w:rsidRDefault="007E28D4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3A04EA" w14:textId="415E484E" w:rsidR="0041775C" w:rsidRDefault="0041775C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ІІ. Прикінцеві та перехідні положення</w:t>
      </w:r>
    </w:p>
    <w:p w14:paraId="15686683" w14:textId="77777777" w:rsidR="007E28D4" w:rsidRPr="007E28D4" w:rsidRDefault="007E28D4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64EA7A" w14:textId="1864E21E" w:rsidR="00627943" w:rsidRPr="007E28D4" w:rsidRDefault="0041775C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 xml:space="preserve">1. Цей Закон набирає </w:t>
      </w:r>
      <w:r w:rsidR="00627943" w:rsidRPr="007E28D4">
        <w:rPr>
          <w:rFonts w:ascii="Times New Roman" w:hAnsi="Times New Roman" w:cs="Times New Roman"/>
          <w:sz w:val="28"/>
          <w:szCs w:val="28"/>
        </w:rPr>
        <w:t xml:space="preserve">чинності </w:t>
      </w:r>
      <w:r w:rsidR="006D2C87" w:rsidRPr="007E28D4">
        <w:rPr>
          <w:rFonts w:ascii="Times New Roman" w:hAnsi="Times New Roman" w:cs="Times New Roman"/>
          <w:sz w:val="28"/>
          <w:szCs w:val="28"/>
        </w:rPr>
        <w:t>з дня, наступного за днем його опублікування.</w:t>
      </w:r>
    </w:p>
    <w:p w14:paraId="3D6FC3FD" w14:textId="57786D0D" w:rsidR="00D86A9A" w:rsidRPr="007E28D4" w:rsidRDefault="0041775C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 xml:space="preserve">2. Кабінету Міністрів України у </w:t>
      </w:r>
      <w:r w:rsidR="006D2C87" w:rsidRPr="007E28D4">
        <w:rPr>
          <w:rFonts w:ascii="Times New Roman" w:hAnsi="Times New Roman" w:cs="Times New Roman"/>
          <w:sz w:val="28"/>
          <w:szCs w:val="28"/>
        </w:rPr>
        <w:t>тримісячний</w:t>
      </w:r>
      <w:r w:rsidRPr="007E28D4">
        <w:rPr>
          <w:rFonts w:ascii="Times New Roman" w:hAnsi="Times New Roman" w:cs="Times New Roman"/>
          <w:sz w:val="28"/>
          <w:szCs w:val="28"/>
        </w:rPr>
        <w:t xml:space="preserve"> строк з дня набрання чинності цим Законом:</w:t>
      </w:r>
    </w:p>
    <w:p w14:paraId="4071DE5F" w14:textId="003D6DB4" w:rsidR="00D86A9A" w:rsidRPr="007E28D4" w:rsidRDefault="0041775C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1) привести свої нормативно-правові акти у відповідність із цим Законом;</w:t>
      </w:r>
    </w:p>
    <w:p w14:paraId="656B9BD2" w14:textId="50B90DB8" w:rsidR="0041775C" w:rsidRPr="007E28D4" w:rsidRDefault="0041775C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8D4">
        <w:rPr>
          <w:rFonts w:ascii="Times New Roman" w:hAnsi="Times New Roman" w:cs="Times New Roman"/>
          <w:sz w:val="28"/>
          <w:szCs w:val="28"/>
        </w:rPr>
        <w:t>2) </w:t>
      </w:r>
      <w:r w:rsidR="00D86A9A" w:rsidRPr="007E28D4">
        <w:rPr>
          <w:rFonts w:ascii="Times New Roman" w:hAnsi="Times New Roman" w:cs="Times New Roman"/>
          <w:sz w:val="28"/>
          <w:szCs w:val="28"/>
        </w:rPr>
        <w:t xml:space="preserve">забезпечити перегляд та приведення </w:t>
      </w:r>
      <w:r w:rsidRPr="007E28D4">
        <w:rPr>
          <w:rFonts w:ascii="Times New Roman" w:hAnsi="Times New Roman" w:cs="Times New Roman"/>
          <w:sz w:val="28"/>
          <w:szCs w:val="28"/>
        </w:rPr>
        <w:t xml:space="preserve">міністерствами та іншими центральними органами виконавчої влади </w:t>
      </w:r>
      <w:r w:rsidR="00D86A9A" w:rsidRPr="007E28D4">
        <w:rPr>
          <w:rFonts w:ascii="Times New Roman" w:hAnsi="Times New Roman" w:cs="Times New Roman"/>
          <w:sz w:val="28"/>
          <w:szCs w:val="28"/>
        </w:rPr>
        <w:t>їх</w:t>
      </w:r>
      <w:r w:rsidRPr="007E28D4">
        <w:rPr>
          <w:rFonts w:ascii="Times New Roman" w:hAnsi="Times New Roman" w:cs="Times New Roman"/>
          <w:sz w:val="28"/>
          <w:szCs w:val="28"/>
        </w:rPr>
        <w:t xml:space="preserve"> нормативно-правових актів</w:t>
      </w:r>
      <w:r w:rsidR="00D86A9A" w:rsidRPr="007E28D4">
        <w:rPr>
          <w:rFonts w:ascii="Times New Roman" w:hAnsi="Times New Roman" w:cs="Times New Roman"/>
          <w:sz w:val="28"/>
          <w:szCs w:val="28"/>
        </w:rPr>
        <w:t xml:space="preserve"> </w:t>
      </w:r>
      <w:r w:rsidR="00D86A9A" w:rsidRPr="007E28D4">
        <w:rPr>
          <w:rFonts w:ascii="Times New Roman" w:hAnsi="Times New Roman" w:cs="Times New Roman"/>
          <w:sz w:val="28"/>
          <w:szCs w:val="28"/>
        </w:rPr>
        <w:br/>
        <w:t>у відповідність із цим Законом.</w:t>
      </w:r>
    </w:p>
    <w:p w14:paraId="6C45A1A6" w14:textId="77777777" w:rsidR="0008395E" w:rsidRPr="007E28D4" w:rsidRDefault="0008395E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575FC1" w14:textId="77777777" w:rsidR="0008395E" w:rsidRPr="007E28D4" w:rsidRDefault="0008395E" w:rsidP="00814298">
      <w:pPr>
        <w:spacing w:line="276" w:lineRule="auto"/>
        <w:ind w:left="0" w:firstLine="709"/>
        <w:jc w:val="both"/>
        <w:rPr>
          <w:rFonts w:ascii="Times New Roman" w:hAnsi="Times New Roman"/>
          <w:b/>
          <w:sz w:val="28"/>
          <w:szCs w:val="24"/>
        </w:rPr>
      </w:pPr>
      <w:r w:rsidRPr="007E28D4">
        <w:rPr>
          <w:rFonts w:ascii="Times New Roman" w:hAnsi="Times New Roman"/>
          <w:b/>
          <w:sz w:val="28"/>
          <w:szCs w:val="24"/>
        </w:rPr>
        <w:t>Голова Верховної Ради</w:t>
      </w:r>
    </w:p>
    <w:p w14:paraId="21015219" w14:textId="6BAA1800" w:rsidR="0008395E" w:rsidRPr="007E28D4" w:rsidRDefault="0008395E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E28D4">
        <w:rPr>
          <w:rFonts w:ascii="Times New Roman" w:hAnsi="Times New Roman"/>
          <w:b/>
          <w:sz w:val="28"/>
          <w:szCs w:val="24"/>
        </w:rPr>
        <w:t xml:space="preserve">              України   </w:t>
      </w:r>
      <w:r w:rsidR="00B30E26">
        <w:rPr>
          <w:rFonts w:ascii="Times New Roman" w:hAnsi="Times New Roman"/>
          <w:b/>
          <w:sz w:val="28"/>
          <w:szCs w:val="24"/>
        </w:rPr>
        <w:t xml:space="preserve">                                                        </w:t>
      </w:r>
      <w:r w:rsidRPr="007E28D4">
        <w:rPr>
          <w:rFonts w:ascii="Times New Roman" w:hAnsi="Times New Roman"/>
          <w:b/>
          <w:sz w:val="28"/>
          <w:szCs w:val="24"/>
        </w:rPr>
        <w:t xml:space="preserve">  </w:t>
      </w:r>
      <w:r w:rsidR="00B30E26" w:rsidRPr="00B30E26">
        <w:rPr>
          <w:rFonts w:ascii="Times New Roman" w:hAnsi="Times New Roman"/>
          <w:b/>
          <w:sz w:val="28"/>
          <w:szCs w:val="24"/>
        </w:rPr>
        <w:t>Р.О. Стефанчук</w:t>
      </w:r>
      <w:r w:rsidR="00B30E26">
        <w:rPr>
          <w:rFonts w:ascii="Times New Roman" w:hAnsi="Times New Roman"/>
          <w:b/>
          <w:sz w:val="28"/>
          <w:szCs w:val="24"/>
        </w:rPr>
        <w:t xml:space="preserve">        </w:t>
      </w:r>
    </w:p>
    <w:p w14:paraId="4AB73A89" w14:textId="77777777" w:rsidR="0041775C" w:rsidRPr="007E28D4" w:rsidRDefault="0041775C" w:rsidP="00814298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1775C" w:rsidRPr="007E28D4" w:rsidSect="00072C7D"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3D9D8" w14:textId="77777777" w:rsidR="0079239C" w:rsidRDefault="0079239C" w:rsidP="00D86A9A">
      <w:r>
        <w:separator/>
      </w:r>
    </w:p>
  </w:endnote>
  <w:endnote w:type="continuationSeparator" w:id="0">
    <w:p w14:paraId="444839E3" w14:textId="77777777" w:rsidR="0079239C" w:rsidRDefault="0079239C" w:rsidP="00D86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AFB51F" w14:textId="77777777" w:rsidR="0079239C" w:rsidRDefault="0079239C" w:rsidP="00D86A9A">
      <w:r>
        <w:separator/>
      </w:r>
    </w:p>
  </w:footnote>
  <w:footnote w:type="continuationSeparator" w:id="0">
    <w:p w14:paraId="13F62CFA" w14:textId="77777777" w:rsidR="0079239C" w:rsidRDefault="0079239C" w:rsidP="00D86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0470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EBBDF8" w14:textId="324C8C61" w:rsidR="00D86A9A" w:rsidRPr="00D86A9A" w:rsidRDefault="00D86A9A" w:rsidP="00D86A9A">
        <w:pPr>
          <w:pStyle w:val="a5"/>
          <w:tabs>
            <w:tab w:val="clear" w:pos="4819"/>
          </w:tabs>
          <w:ind w:left="-142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86A9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86A9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86A9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07F9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86A9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1E3D52C" w14:textId="77777777" w:rsidR="00D86A9A" w:rsidRDefault="00D86A9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C1C21"/>
    <w:multiLevelType w:val="hybridMultilevel"/>
    <w:tmpl w:val="C8AA96D6"/>
    <w:lvl w:ilvl="0" w:tplc="6720C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EED57D3"/>
    <w:multiLevelType w:val="hybridMultilevel"/>
    <w:tmpl w:val="D334ED9C"/>
    <w:lvl w:ilvl="0" w:tplc="53D0D6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75C"/>
    <w:rsid w:val="0001143D"/>
    <w:rsid w:val="00021C78"/>
    <w:rsid w:val="00021F98"/>
    <w:rsid w:val="000504E0"/>
    <w:rsid w:val="00072C7D"/>
    <w:rsid w:val="0008395E"/>
    <w:rsid w:val="0008503B"/>
    <w:rsid w:val="000A0D1F"/>
    <w:rsid w:val="001009B7"/>
    <w:rsid w:val="001B1BBF"/>
    <w:rsid w:val="001B6925"/>
    <w:rsid w:val="001F1678"/>
    <w:rsid w:val="002009A8"/>
    <w:rsid w:val="002604AF"/>
    <w:rsid w:val="00267B16"/>
    <w:rsid w:val="00286C3B"/>
    <w:rsid w:val="002A6F8A"/>
    <w:rsid w:val="002B25D7"/>
    <w:rsid w:val="002B6DBA"/>
    <w:rsid w:val="003549F7"/>
    <w:rsid w:val="003A14E6"/>
    <w:rsid w:val="003A61B1"/>
    <w:rsid w:val="003D00D0"/>
    <w:rsid w:val="003D0F81"/>
    <w:rsid w:val="00404217"/>
    <w:rsid w:val="00406B3D"/>
    <w:rsid w:val="0041775C"/>
    <w:rsid w:val="00436155"/>
    <w:rsid w:val="00492B26"/>
    <w:rsid w:val="004A0D6F"/>
    <w:rsid w:val="004C425F"/>
    <w:rsid w:val="004F75F2"/>
    <w:rsid w:val="005014D7"/>
    <w:rsid w:val="0052202D"/>
    <w:rsid w:val="005401DB"/>
    <w:rsid w:val="00552274"/>
    <w:rsid w:val="00580AF7"/>
    <w:rsid w:val="00627943"/>
    <w:rsid w:val="00677879"/>
    <w:rsid w:val="006C2A59"/>
    <w:rsid w:val="006D2C87"/>
    <w:rsid w:val="0070686A"/>
    <w:rsid w:val="007126AC"/>
    <w:rsid w:val="00722ABA"/>
    <w:rsid w:val="00757276"/>
    <w:rsid w:val="0079239C"/>
    <w:rsid w:val="007B050D"/>
    <w:rsid w:val="007C294B"/>
    <w:rsid w:val="007E28D4"/>
    <w:rsid w:val="00803948"/>
    <w:rsid w:val="00814298"/>
    <w:rsid w:val="00843CB0"/>
    <w:rsid w:val="008735FF"/>
    <w:rsid w:val="008979E0"/>
    <w:rsid w:val="008E054B"/>
    <w:rsid w:val="008E2A37"/>
    <w:rsid w:val="00973FA8"/>
    <w:rsid w:val="00991614"/>
    <w:rsid w:val="009A19E9"/>
    <w:rsid w:val="009B00C0"/>
    <w:rsid w:val="009C3CC9"/>
    <w:rsid w:val="00A01FF5"/>
    <w:rsid w:val="00A15257"/>
    <w:rsid w:val="00A511CF"/>
    <w:rsid w:val="00A713A8"/>
    <w:rsid w:val="00A86236"/>
    <w:rsid w:val="00A95304"/>
    <w:rsid w:val="00B05DA9"/>
    <w:rsid w:val="00B30E26"/>
    <w:rsid w:val="00B442B9"/>
    <w:rsid w:val="00B56CF9"/>
    <w:rsid w:val="00B71837"/>
    <w:rsid w:val="00B96FF1"/>
    <w:rsid w:val="00BA1E0F"/>
    <w:rsid w:val="00BB37D9"/>
    <w:rsid w:val="00BD6F21"/>
    <w:rsid w:val="00C03B9F"/>
    <w:rsid w:val="00C07F91"/>
    <w:rsid w:val="00C15216"/>
    <w:rsid w:val="00C15D45"/>
    <w:rsid w:val="00C15F14"/>
    <w:rsid w:val="00C942C3"/>
    <w:rsid w:val="00D14E68"/>
    <w:rsid w:val="00D408EA"/>
    <w:rsid w:val="00D86A9A"/>
    <w:rsid w:val="00DA24D8"/>
    <w:rsid w:val="00E1481E"/>
    <w:rsid w:val="00E717A0"/>
    <w:rsid w:val="00E83656"/>
    <w:rsid w:val="00E910FA"/>
    <w:rsid w:val="00E9181F"/>
    <w:rsid w:val="00EB5E32"/>
    <w:rsid w:val="00EE2685"/>
    <w:rsid w:val="00EE2938"/>
    <w:rsid w:val="00F30814"/>
    <w:rsid w:val="00F3151F"/>
    <w:rsid w:val="00F83F9B"/>
    <w:rsid w:val="00FC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22BC9"/>
  <w15:chartTrackingRefBased/>
  <w15:docId w15:val="{D64257CA-AA7D-46EA-91B6-7A454D7B1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left="595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rsid w:val="0041775C"/>
    <w:pPr>
      <w:keepNext/>
      <w:keepLines/>
      <w:spacing w:before="120"/>
      <w:ind w:left="0"/>
      <w:jc w:val="center"/>
    </w:pPr>
    <w:rPr>
      <w:rFonts w:ascii="Antiqua" w:eastAsia="Times New Roman" w:hAnsi="Antiqua" w:cs="Times New Roman"/>
      <w:b/>
      <w:i/>
      <w:caps/>
      <w:sz w:val="48"/>
      <w:szCs w:val="20"/>
      <w:lang w:eastAsia="ru-RU"/>
    </w:rPr>
  </w:style>
  <w:style w:type="paragraph" w:styleId="a4">
    <w:name w:val="List Paragraph"/>
    <w:basedOn w:val="a"/>
    <w:uiPriority w:val="34"/>
    <w:qFormat/>
    <w:rsid w:val="004177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86A9A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D86A9A"/>
  </w:style>
  <w:style w:type="paragraph" w:styleId="a7">
    <w:name w:val="footer"/>
    <w:basedOn w:val="a"/>
    <w:link w:val="a8"/>
    <w:uiPriority w:val="99"/>
    <w:unhideWhenUsed/>
    <w:rsid w:val="00D86A9A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D86A9A"/>
  </w:style>
  <w:style w:type="paragraph" w:styleId="a9">
    <w:name w:val="Balloon Text"/>
    <w:basedOn w:val="a"/>
    <w:link w:val="aa"/>
    <w:uiPriority w:val="99"/>
    <w:semiHidden/>
    <w:unhideWhenUsed/>
    <w:rsid w:val="00BD6F21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BD6F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3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048C69-F802-47A2-B261-D3B8F35752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077B85-01AB-4E53-84F2-F3104ABBE3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8C1DE5-5E46-4AAD-A368-8B49F517FF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3077</Words>
  <Characters>1755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2021-10-21T09:46:00Z</dcterms:created>
  <dcterms:modified xsi:type="dcterms:W3CDTF">2021-10-21T09:46:00Z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