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91D" w:rsidRPr="00FE23A5" w:rsidRDefault="00B4591D" w:rsidP="004F42B0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E23A5">
        <w:rPr>
          <w:rFonts w:ascii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:rsidR="004F42B0" w:rsidRDefault="00B4591D" w:rsidP="004F42B0">
      <w:pPr>
        <w:pStyle w:val="rvps2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lang w:val="uk-UA"/>
        </w:rPr>
      </w:pPr>
      <w:r w:rsidRPr="00975F7B">
        <w:rPr>
          <w:b/>
          <w:bCs/>
          <w:sz w:val="28"/>
          <w:szCs w:val="28"/>
          <w:lang w:val="uk-UA"/>
        </w:rPr>
        <w:t>до проекту Закону України «Про внесення змін до</w:t>
      </w:r>
      <w:r w:rsidR="00E61218">
        <w:rPr>
          <w:b/>
          <w:bCs/>
          <w:sz w:val="28"/>
          <w:szCs w:val="28"/>
          <w:lang w:val="uk-UA"/>
        </w:rPr>
        <w:t xml:space="preserve"> </w:t>
      </w:r>
      <w:r w:rsidR="00E61218" w:rsidRPr="00E61218">
        <w:rPr>
          <w:b/>
          <w:bCs/>
          <w:sz w:val="28"/>
          <w:szCs w:val="28"/>
          <w:lang w:val="uk-UA"/>
        </w:rPr>
        <w:t>статті</w:t>
      </w:r>
      <w:r w:rsidRPr="00E61218">
        <w:rPr>
          <w:b/>
          <w:bCs/>
          <w:sz w:val="28"/>
          <w:szCs w:val="28"/>
          <w:lang w:val="uk-UA"/>
        </w:rPr>
        <w:t xml:space="preserve"> </w:t>
      </w:r>
      <w:r w:rsidR="00E61218" w:rsidRPr="00E61218">
        <w:rPr>
          <w:rStyle w:val="rvts9"/>
          <w:b/>
          <w:bCs/>
          <w:sz w:val="28"/>
          <w:szCs w:val="28"/>
          <w:shd w:val="clear" w:color="auto" w:fill="FFFFFF"/>
        </w:rPr>
        <w:t>103</w:t>
      </w:r>
      <w:r w:rsidR="00E61218" w:rsidRPr="00E61218">
        <w:rPr>
          <w:rStyle w:val="rvts37"/>
          <w:b/>
          <w:bCs/>
          <w:sz w:val="28"/>
          <w:szCs w:val="28"/>
          <w:shd w:val="clear" w:color="auto" w:fill="FFFFFF"/>
          <w:vertAlign w:val="superscript"/>
        </w:rPr>
        <w:t>-2</w:t>
      </w:r>
      <w:r w:rsidR="00E61218">
        <w:rPr>
          <w:rStyle w:val="rvts37"/>
          <w:b/>
          <w:bCs/>
          <w:sz w:val="28"/>
          <w:szCs w:val="28"/>
          <w:shd w:val="clear" w:color="auto" w:fill="FFFFFF"/>
          <w:vertAlign w:val="superscript"/>
          <w:lang w:val="uk-UA"/>
        </w:rPr>
        <w:t xml:space="preserve"> </w:t>
      </w:r>
      <w:r w:rsidR="004F42B0" w:rsidRPr="00E61218">
        <w:rPr>
          <w:rStyle w:val="rvts46"/>
          <w:b/>
          <w:iCs/>
          <w:sz w:val="28"/>
          <w:szCs w:val="28"/>
          <w:shd w:val="clear" w:color="auto" w:fill="FFFFFF"/>
          <w:lang w:val="uk-UA"/>
        </w:rPr>
        <w:t>Бюджетного</w:t>
      </w:r>
      <w:r w:rsidR="004F42B0">
        <w:rPr>
          <w:rStyle w:val="rvts46"/>
          <w:b/>
          <w:iCs/>
          <w:sz w:val="28"/>
          <w:szCs w:val="28"/>
          <w:shd w:val="clear" w:color="auto" w:fill="FFFFFF"/>
          <w:lang w:val="uk-UA"/>
        </w:rPr>
        <w:t xml:space="preserve"> кодексу України</w:t>
      </w:r>
      <w:r w:rsidRPr="00975F7B">
        <w:rPr>
          <w:b/>
          <w:bCs/>
          <w:sz w:val="28"/>
          <w:szCs w:val="28"/>
          <w:lang w:val="uk-UA"/>
        </w:rPr>
        <w:t xml:space="preserve"> </w:t>
      </w:r>
    </w:p>
    <w:p w:rsidR="00B4591D" w:rsidRPr="00975F7B" w:rsidRDefault="0039290F" w:rsidP="004F42B0">
      <w:pPr>
        <w:pStyle w:val="rvps2"/>
        <w:spacing w:before="0" w:beforeAutospacing="0" w:after="0" w:afterAutospacing="0"/>
        <w:ind w:firstLine="450"/>
        <w:jc w:val="center"/>
        <w:rPr>
          <w:b/>
          <w:bCs/>
          <w:sz w:val="28"/>
          <w:szCs w:val="28"/>
          <w:lang w:val="uk-UA"/>
        </w:rPr>
      </w:pPr>
      <w:r w:rsidRPr="00975F7B">
        <w:rPr>
          <w:b/>
          <w:bCs/>
          <w:sz w:val="28"/>
          <w:szCs w:val="28"/>
        </w:rPr>
        <w:t xml:space="preserve">щодо </w:t>
      </w:r>
      <w:r>
        <w:rPr>
          <w:b/>
          <w:bCs/>
          <w:sz w:val="28"/>
          <w:szCs w:val="28"/>
        </w:rPr>
        <w:t>вдосконалення механізму фінансування оплати праці педагогічних працівників</w:t>
      </w:r>
      <w:r w:rsidRPr="00E164B9">
        <w:rPr>
          <w:b/>
          <w:sz w:val="28"/>
          <w:szCs w:val="28"/>
        </w:rPr>
        <w:t>»</w:t>
      </w:r>
    </w:p>
    <w:p w:rsidR="00B4591D" w:rsidRPr="00764EF1" w:rsidRDefault="00B4591D" w:rsidP="00F4783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04"/>
        <w:gridCol w:w="197"/>
        <w:gridCol w:w="7439"/>
      </w:tblGrid>
      <w:tr w:rsidR="00B4591D" w:rsidRPr="00E61218"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Pr="00E61218" w:rsidRDefault="00B4591D" w:rsidP="005A41F9">
            <w:pPr>
              <w:spacing w:after="0" w:line="23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Pr="00E61218" w:rsidRDefault="00B4591D" w:rsidP="005A41F9">
            <w:pPr>
              <w:spacing w:after="0" w:line="23" w:lineRule="atLeast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sz w:val="28"/>
                <w:szCs w:val="28"/>
                <w:lang w:val="uk-UA"/>
              </w:rPr>
              <w:t>Зміст положення (норми)  проекту Закону</w:t>
            </w:r>
          </w:p>
        </w:tc>
      </w:tr>
      <w:tr w:rsidR="00B4591D" w:rsidRPr="00E61218">
        <w:trPr>
          <w:trHeight w:val="504"/>
        </w:trPr>
        <w:tc>
          <w:tcPr>
            <w:tcW w:w="14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91D" w:rsidRPr="00E61218" w:rsidRDefault="004F42B0" w:rsidP="004F42B0">
            <w:pPr>
              <w:spacing w:before="120" w:after="0" w:line="23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E61218">
              <w:rPr>
                <w:rStyle w:val="rvts46"/>
                <w:rFonts w:ascii="Times New Roman" w:hAnsi="Times New Roman"/>
                <w:b/>
                <w:iCs/>
                <w:sz w:val="28"/>
                <w:szCs w:val="28"/>
                <w:shd w:val="clear" w:color="auto" w:fill="FFFFFF"/>
                <w:lang w:val="uk-UA"/>
              </w:rPr>
              <w:t>Бюджетний кодекс України</w:t>
            </w:r>
          </w:p>
        </w:tc>
      </w:tr>
      <w:tr w:rsidR="00B4591D" w:rsidRPr="00E61218">
        <w:trPr>
          <w:trHeight w:val="6639"/>
        </w:trPr>
        <w:tc>
          <w:tcPr>
            <w:tcW w:w="7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02" w:rsidRPr="00E61218" w:rsidRDefault="00494202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bookmarkStart w:id="1" w:name="_Hlk29908033"/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Стаття </w:t>
            </w:r>
            <w:r w:rsidR="00E61218" w:rsidRPr="00E61218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103</w:t>
            </w:r>
            <w:r w:rsidR="00E61218" w:rsidRPr="00E61218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</w:t>
            </w: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E61218">
              <w:rPr>
                <w:rFonts w:ascii="Times New Roman" w:hAnsi="Times New Roman"/>
                <w:sz w:val="28"/>
                <w:szCs w:val="28"/>
                <w:lang w:val="uk-UA"/>
              </w:rPr>
              <w:t>Освітня субвенція</w:t>
            </w:r>
          </w:p>
          <w:p w:rsidR="00494202" w:rsidRPr="00E61218" w:rsidRDefault="00494202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94202" w:rsidRPr="00E61218" w:rsidRDefault="00494202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sz w:val="28"/>
                <w:szCs w:val="28"/>
                <w:lang w:val="uk-UA"/>
              </w:rPr>
              <w:t>1. Освітня субвенція спрямовується на оплату праці з нарахуваннями педагогічних працівників у таких типах закладів освіти: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E61218">
              <w:rPr>
                <w:sz w:val="28"/>
                <w:szCs w:val="28"/>
                <w:lang w:val="uk-UA"/>
              </w:rPr>
              <w:t>1) початкові школи, гімназії (крім дошкільних підрозділів у таких закладах), ліцеї;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bookmarkStart w:id="2" w:name="n3917"/>
            <w:bookmarkStart w:id="3" w:name="n2434"/>
            <w:bookmarkEnd w:id="2"/>
            <w:bookmarkEnd w:id="3"/>
            <w:r w:rsidRPr="00E61218">
              <w:rPr>
                <w:sz w:val="28"/>
                <w:szCs w:val="28"/>
                <w:lang w:val="uk-UA"/>
              </w:rPr>
              <w:t>2) спеціальні школи;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bookmarkStart w:id="4" w:name="n3916"/>
            <w:bookmarkStart w:id="5" w:name="n2435"/>
            <w:bookmarkEnd w:id="4"/>
            <w:bookmarkEnd w:id="5"/>
            <w:r w:rsidRPr="00E61218">
              <w:rPr>
                <w:sz w:val="28"/>
                <w:szCs w:val="28"/>
                <w:lang w:val="uk-UA"/>
              </w:rPr>
              <w:t>3) заклади спеціалізованої освіти: мистецькі, спортивні, військові (військово-морські, військово-спортивні), наукові ліцеї, ліцеї з посиленою військово-фізичною підготовкою;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6" w:name="n3918"/>
            <w:bookmarkStart w:id="7" w:name="n2436"/>
            <w:bookmarkEnd w:id="6"/>
            <w:bookmarkEnd w:id="7"/>
            <w:r w:rsidRPr="00E61218">
              <w:rPr>
                <w:sz w:val="28"/>
                <w:szCs w:val="28"/>
              </w:rPr>
              <w:t>4) дитячі будинки, навчально-реабілітаційні центри, інклюзивно-ресурсні центри;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8" w:name="n2437"/>
            <w:bookmarkEnd w:id="8"/>
            <w:r w:rsidRPr="00E61218">
              <w:rPr>
                <w:sz w:val="28"/>
                <w:szCs w:val="28"/>
              </w:rPr>
              <w:t>5) заклади професійної (професійно-технічної) освіти державної та комунальної власності в частині забезпечення видатків на здобуття повної загальної середньої освіти;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9" w:name="n2438"/>
            <w:bookmarkEnd w:id="9"/>
            <w:r w:rsidRPr="00E61218">
              <w:rPr>
                <w:sz w:val="28"/>
                <w:szCs w:val="28"/>
              </w:rPr>
              <w:t>6) заклади фахової передвищої освіти і коледжі державної та комунальної власності в частині забезпечення видатків на здобуття повної загальної середньої освіти.</w:t>
            </w:r>
          </w:p>
          <w:p w:rsidR="00494202" w:rsidRPr="00E61218" w:rsidRDefault="009660CA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Норма </w:t>
            </w:r>
            <w:r w:rsidR="00494202"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відсутн</w:t>
            </w: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я</w:t>
            </w:r>
          </w:p>
          <w:p w:rsidR="00494202" w:rsidRPr="00E61218" w:rsidRDefault="00494202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AC7094" w:rsidRPr="00E61218" w:rsidRDefault="00AC7094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AC7094" w:rsidRPr="00E61218" w:rsidRDefault="00AC7094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6254C3" w:rsidRPr="00E61218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E61218">
              <w:rPr>
                <w:sz w:val="28"/>
                <w:szCs w:val="28"/>
                <w:lang w:val="uk-UA"/>
              </w:rPr>
              <w:t>2. У законі про Державний бюджет України затверджуються обсяги освітньої субвенції окремо для бюджету Автономної Республіки Крим, обласних бюджетів і бюджетів місцевого самоврядування.</w:t>
            </w:r>
          </w:p>
          <w:p w:rsidR="006254C3" w:rsidRPr="00E61218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bookmarkStart w:id="10" w:name="n3769"/>
            <w:bookmarkStart w:id="11" w:name="n2441"/>
            <w:bookmarkEnd w:id="10"/>
            <w:bookmarkEnd w:id="11"/>
            <w:r w:rsidRPr="00E61218">
              <w:rPr>
                <w:sz w:val="28"/>
                <w:szCs w:val="28"/>
                <w:lang w:val="uk-UA"/>
              </w:rPr>
              <w:t>3. Освітня субвенція розподіляється між відповідними бюджетами на основі</w:t>
            </w:r>
            <w:r w:rsidRPr="00E61218">
              <w:rPr>
                <w:sz w:val="28"/>
                <w:szCs w:val="28"/>
              </w:rPr>
              <w:t> </w:t>
            </w:r>
            <w:r w:rsidRPr="00E61218">
              <w:rPr>
                <w:sz w:val="28"/>
                <w:szCs w:val="28"/>
                <w:lang w:val="uk-UA"/>
              </w:rPr>
              <w:t>формули, яка розробляється центральним органом виконавчої влади, що забезпечує формування та реалізує державну політику у сфері освіти, та затверджується Кабінетом Міністрів України і має враховувати, зокрема, такі параметри:</w:t>
            </w:r>
          </w:p>
          <w:p w:rsidR="006254C3" w:rsidRPr="000122B7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bookmarkStart w:id="12" w:name="n2442"/>
            <w:bookmarkEnd w:id="12"/>
            <w:r w:rsidRPr="000122B7">
              <w:rPr>
                <w:sz w:val="28"/>
                <w:szCs w:val="28"/>
                <w:lang w:val="uk-UA"/>
              </w:rPr>
              <w:t>1) кількість учнів закладів загальної середньої освіти, учнів, які здобувають повну загальну середню освіту в закладах професійної (професійно-технічної) освіти державної та комунальної власності, студентів, які здобувають повну загальну середню освіту в закладах фахової передвищої освіти і коледжах державної та комунальної власності, у міській та сільській місцевості, гірських населених пунктах;</w:t>
            </w:r>
          </w:p>
          <w:p w:rsidR="006254C3" w:rsidRPr="00E61218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13" w:name="n2955"/>
            <w:bookmarkStart w:id="14" w:name="n2443"/>
            <w:bookmarkEnd w:id="13"/>
            <w:bookmarkEnd w:id="14"/>
            <w:r w:rsidRPr="00E61218">
              <w:rPr>
                <w:sz w:val="28"/>
                <w:szCs w:val="28"/>
              </w:rPr>
              <w:t>2) розрахункова наповнюваність класів;</w:t>
            </w:r>
          </w:p>
          <w:p w:rsidR="006254C3" w:rsidRPr="00E61218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15" w:name="n3142"/>
            <w:bookmarkStart w:id="16" w:name="n2444"/>
            <w:bookmarkEnd w:id="15"/>
            <w:bookmarkEnd w:id="16"/>
            <w:r w:rsidRPr="00E61218">
              <w:rPr>
                <w:sz w:val="28"/>
                <w:szCs w:val="28"/>
              </w:rPr>
              <w:t>3) навчальні плани.</w:t>
            </w:r>
          </w:p>
          <w:p w:rsidR="006254C3" w:rsidRPr="00E61218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17" w:name="n2956"/>
            <w:bookmarkStart w:id="18" w:name="n3920"/>
            <w:bookmarkEnd w:id="17"/>
            <w:bookmarkEnd w:id="18"/>
            <w:r w:rsidRPr="00E61218">
              <w:rPr>
                <w:sz w:val="28"/>
                <w:szCs w:val="28"/>
              </w:rPr>
              <w:t>Фінансовий норматив бюджетної забезпеченості, що використовується для розподілу освітньої субвенції, визначається Кабінетом Міністрів України з урахуванням зазначених параметрів.</w:t>
            </w:r>
          </w:p>
          <w:p w:rsidR="006254C3" w:rsidRPr="00E61218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19" w:name="n3919"/>
            <w:bookmarkStart w:id="20" w:name="n2445"/>
            <w:bookmarkEnd w:id="19"/>
            <w:bookmarkEnd w:id="20"/>
            <w:r w:rsidRPr="00E61218">
              <w:rPr>
                <w:sz w:val="28"/>
                <w:szCs w:val="28"/>
              </w:rPr>
              <w:lastRenderedPageBreak/>
              <w:t>При цьому у складі зазначеної субвенції передбачається резерв коштів, обсяг якого не може перевищувати 1 відсотка загального обсягу субвенції.</w:t>
            </w:r>
          </w:p>
          <w:p w:rsidR="006254C3" w:rsidRPr="00E61218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bookmarkStart w:id="21" w:name="n2957"/>
            <w:bookmarkStart w:id="22" w:name="n2959"/>
            <w:bookmarkEnd w:id="21"/>
            <w:bookmarkEnd w:id="22"/>
            <w:r w:rsidRPr="00E61218">
              <w:rPr>
                <w:sz w:val="28"/>
                <w:szCs w:val="28"/>
              </w:rPr>
              <w:t>Кабінет Міністрів України здійснює розподіл резерву освітньої субвенції та може визначати напрями використання таких коштів.</w:t>
            </w:r>
          </w:p>
          <w:p w:rsidR="004B6D17" w:rsidRDefault="004B6D17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bookmarkStart w:id="23" w:name="n2958"/>
            <w:bookmarkStart w:id="24" w:name="n2446"/>
            <w:bookmarkEnd w:id="23"/>
            <w:bookmarkEnd w:id="24"/>
          </w:p>
          <w:p w:rsidR="006254C3" w:rsidRPr="004B6D17" w:rsidRDefault="006254C3" w:rsidP="00AC7094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4B6D17">
              <w:rPr>
                <w:sz w:val="28"/>
                <w:szCs w:val="28"/>
                <w:lang w:val="uk-UA"/>
              </w:rPr>
              <w:t>4. Залишки коштів за освітньою субвенцією на кінець бюджетного періоду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 та на оновлення матеріально-технічної бази закладів освіти державної та комунальної власності, зазначених</w:t>
            </w:r>
            <w:r w:rsidR="0081164A">
              <w:rPr>
                <w:sz w:val="28"/>
                <w:szCs w:val="28"/>
                <w:lang w:val="uk-UA"/>
              </w:rPr>
              <w:t xml:space="preserve"> у частині першій цієї ст</w:t>
            </w:r>
            <w:r w:rsidRPr="004B6D17">
              <w:rPr>
                <w:sz w:val="28"/>
                <w:szCs w:val="28"/>
                <w:lang w:val="uk-UA"/>
              </w:rPr>
              <w:t>атті.</w:t>
            </w:r>
          </w:p>
          <w:p w:rsidR="00B4591D" w:rsidRPr="004B6D17" w:rsidRDefault="004C2C5C" w:rsidP="009660CA">
            <w:pPr>
              <w:tabs>
                <w:tab w:val="left" w:pos="717"/>
              </w:tabs>
              <w:spacing w:after="0" w:line="23" w:lineRule="atLeast"/>
              <w:ind w:firstLine="563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02" w:rsidRPr="00E61218" w:rsidRDefault="00494202" w:rsidP="009660CA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Стаття </w:t>
            </w:r>
            <w:r w:rsidR="00E61218" w:rsidRPr="00E61218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103</w:t>
            </w:r>
            <w:r w:rsidR="00E61218" w:rsidRPr="00E61218">
              <w:rPr>
                <w:rStyle w:val="rvts37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-2</w:t>
            </w: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E61218">
              <w:rPr>
                <w:rFonts w:ascii="Times New Roman" w:hAnsi="Times New Roman"/>
                <w:sz w:val="28"/>
                <w:szCs w:val="28"/>
                <w:lang w:val="uk-UA"/>
              </w:rPr>
              <w:t>Освітня субвенція</w:t>
            </w:r>
          </w:p>
          <w:p w:rsidR="00494202" w:rsidRPr="00E61218" w:rsidRDefault="00494202" w:rsidP="009660CA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AC7094" w:rsidRPr="00E61218" w:rsidRDefault="00AC7094" w:rsidP="00AC7094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sz w:val="28"/>
                <w:szCs w:val="28"/>
                <w:lang w:val="uk-UA"/>
              </w:rPr>
              <w:t>1. Освітня субвенція спрямовується на оплату праці з нарахуваннями педагогічних працівників у таких типах закладів освіти: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E61218">
              <w:rPr>
                <w:sz w:val="28"/>
                <w:szCs w:val="28"/>
                <w:lang w:val="uk-UA"/>
              </w:rPr>
              <w:t>1) початкові школи, гімназії (крім дошкільних підрозділів у таких закладах), ліцеї;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E61218">
              <w:rPr>
                <w:sz w:val="28"/>
                <w:szCs w:val="28"/>
                <w:lang w:val="uk-UA"/>
              </w:rPr>
              <w:t>2) спеціальні школи;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E61218">
              <w:rPr>
                <w:sz w:val="28"/>
                <w:szCs w:val="28"/>
                <w:lang w:val="uk-UA"/>
              </w:rPr>
              <w:t>3) заклади спеціалізованої освіти: мистецькі, спортивні, військові (військово-морські, військово-спортивні), наукові ліцеї, ліцеї з посиленою військово-фізичною підготовкою;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>4) дитячі будинки, навчально-реабілітаційні центри, інклюзивно-ресурсні центри;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>5) заклади професійної (професійно-технічної) освіти державної та комунальної власності в частині забезпечення видатків на здобуття повної загальної середньої освіти;</w:t>
            </w:r>
          </w:p>
          <w:p w:rsidR="00AC7094" w:rsidRPr="00E61218" w:rsidRDefault="00AC7094" w:rsidP="00AC7094">
            <w:pPr>
              <w:pStyle w:val="rvps2"/>
              <w:shd w:val="clear" w:color="auto" w:fill="FFFFFF"/>
              <w:tabs>
                <w:tab w:val="left" w:pos="717"/>
              </w:tabs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>6) заклади фахової передвищої освіти і коледжі державної та комунальної власності в частині забезпечення видатків на здобуття повної загальної середньої освіти.</w:t>
            </w:r>
          </w:p>
          <w:p w:rsidR="00494202" w:rsidRPr="00E61218" w:rsidRDefault="00494202" w:rsidP="009660CA">
            <w:pPr>
              <w:tabs>
                <w:tab w:val="left" w:pos="717"/>
              </w:tabs>
              <w:spacing w:after="0" w:line="240" w:lineRule="auto"/>
              <w:ind w:firstLine="563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7) міжшкільні ресурсні центри (міжшкільні навчально-виробничі комбінати) в частині забезпечення видатків на здобуття повної загальної середньої освіти.</w:t>
            </w:r>
          </w:p>
          <w:p w:rsidR="00494202" w:rsidRPr="00E61218" w:rsidRDefault="00494202" w:rsidP="00C06772">
            <w:pPr>
              <w:tabs>
                <w:tab w:val="left" w:pos="71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E61218">
              <w:rPr>
                <w:sz w:val="28"/>
                <w:szCs w:val="28"/>
                <w:lang w:val="uk-UA"/>
              </w:rPr>
              <w:t>2. У законі про Державний бюджет України затверджуються обсяги освітньої субвенції окремо для бюджету Автономної Республіки Крим, обласних бюджетів і бюджетів місцевого самоврядування.</w:t>
            </w: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E61218">
              <w:rPr>
                <w:sz w:val="28"/>
                <w:szCs w:val="28"/>
                <w:lang w:val="uk-UA"/>
              </w:rPr>
              <w:t>3. Освітня субвенція розподіляється між відповідними бюджетами на основі</w:t>
            </w:r>
            <w:r w:rsidRPr="00E61218">
              <w:rPr>
                <w:sz w:val="28"/>
                <w:szCs w:val="28"/>
              </w:rPr>
              <w:t> </w:t>
            </w:r>
            <w:r w:rsidRPr="00E61218">
              <w:rPr>
                <w:sz w:val="28"/>
                <w:szCs w:val="28"/>
                <w:lang w:val="uk-UA"/>
              </w:rPr>
              <w:t>формули, яка розробляється центральним органом виконавчої влади, що забезпечує формування та реалізує державну політику у сфері освіти, та затверджується Кабінетом Міністрів України і має враховувати, зокрема, такі параметри:</w:t>
            </w:r>
          </w:p>
          <w:p w:rsidR="00C06772" w:rsidRPr="00C06772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  <w:lang w:val="uk-UA"/>
              </w:rPr>
            </w:pPr>
            <w:r w:rsidRPr="00C06772">
              <w:rPr>
                <w:sz w:val="28"/>
                <w:szCs w:val="28"/>
                <w:lang w:val="uk-UA"/>
              </w:rPr>
              <w:t>1) кількість учнів закладів загальної середньої освіти, учнів, які здобувають повну загальну середню освіту в закладах професійної (професійно-технічної) освіти державної та комунальної власності, студентів, які здобувають повну загальну середню освіту в закладах фахової передвищої освіти і коледжах державної та комунальної власності, у міській та сільській місцевості, гірських населених пунктах;</w:t>
            </w: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>2) розрахункова наповнюваність класів;</w:t>
            </w: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>3) навчальні плани.</w:t>
            </w: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>Фінансовий норматив бюджетної забезпеченості, що використовується для розподілу освітньої субвенції, визначається Кабінетом Міністрів України з урахуванням зазначених параметрів.</w:t>
            </w: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lastRenderedPageBreak/>
              <w:t>При цьому у складі зазначеної субвенції передбачається резерв коштів, обсяг якого не може перевищувати 1 відсотка загального обсягу субвенції.</w:t>
            </w: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 xml:space="preserve">Кабінет Міністрів України здійснює </w:t>
            </w:r>
            <w:r w:rsidR="004B6D17" w:rsidRPr="00E61218">
              <w:rPr>
                <w:b/>
                <w:sz w:val="28"/>
                <w:szCs w:val="28"/>
                <w:lang w:val="uk-UA"/>
              </w:rPr>
              <w:t>перерозподіл освітньої субвенції між місцевими бюджетами</w:t>
            </w:r>
            <w:r w:rsidR="004B6D17">
              <w:rPr>
                <w:b/>
                <w:sz w:val="28"/>
                <w:szCs w:val="28"/>
                <w:lang w:val="uk-UA"/>
              </w:rPr>
              <w:t>,</w:t>
            </w:r>
            <w:r w:rsidR="004B6D17" w:rsidRPr="00E61218">
              <w:rPr>
                <w:sz w:val="28"/>
                <w:szCs w:val="28"/>
              </w:rPr>
              <w:t xml:space="preserve"> </w:t>
            </w:r>
            <w:r w:rsidRPr="00E61218">
              <w:rPr>
                <w:sz w:val="28"/>
                <w:szCs w:val="28"/>
              </w:rPr>
              <w:t>розподіл резерву освітньої субвенції та може визначати напрями використання таких коштів.</w:t>
            </w:r>
          </w:p>
          <w:p w:rsidR="00C06772" w:rsidRPr="00E61218" w:rsidRDefault="00C06772" w:rsidP="00C06772">
            <w:pPr>
              <w:pStyle w:val="rvps2"/>
              <w:shd w:val="clear" w:color="auto" w:fill="FFFFFF"/>
              <w:spacing w:before="0" w:beforeAutospacing="0" w:after="150" w:afterAutospacing="0"/>
              <w:ind w:firstLine="563"/>
              <w:jc w:val="both"/>
              <w:rPr>
                <w:sz w:val="28"/>
                <w:szCs w:val="28"/>
              </w:rPr>
            </w:pPr>
            <w:r w:rsidRPr="00E61218">
              <w:rPr>
                <w:sz w:val="28"/>
                <w:szCs w:val="28"/>
              </w:rPr>
              <w:t>4. Залишки коштів за освітньою субвенцією на кінець бюджетного періоду 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 та на оновлення матеріально-технічної бази закладів освіти державної та комунальної власності, зазначених</w:t>
            </w:r>
            <w:r>
              <w:rPr>
                <w:sz w:val="28"/>
                <w:szCs w:val="28"/>
                <w:lang w:val="uk-UA"/>
              </w:rPr>
              <w:t xml:space="preserve"> у частині першій цієї ст</w:t>
            </w:r>
            <w:r w:rsidRPr="00E61218">
              <w:rPr>
                <w:sz w:val="28"/>
                <w:szCs w:val="28"/>
              </w:rPr>
              <w:t>атті.</w:t>
            </w:r>
          </w:p>
          <w:p w:rsidR="00B4591D" w:rsidRPr="00E61218" w:rsidRDefault="00494202" w:rsidP="009660CA">
            <w:pPr>
              <w:tabs>
                <w:tab w:val="left" w:pos="717"/>
              </w:tabs>
              <w:spacing w:after="0" w:line="23" w:lineRule="atLeast"/>
              <w:ind w:firstLine="56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6121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Залишки коштів за освітньою субвенцією, не використані протягом наступного бюджетного періоду, вилучаються до державного бюджету з подальшим їх спрямуванням на оновлення матеріально-технічної бази закладів освіти державної та комунальної власності, зазначених у частині першій цієї статті, за погодженням з Комітетом Верховної Ради України з питань бюджету.</w:t>
            </w:r>
          </w:p>
        </w:tc>
      </w:tr>
      <w:bookmarkEnd w:id="1"/>
    </w:tbl>
    <w:p w:rsidR="00B4591D" w:rsidRDefault="00B4591D" w:rsidP="0000401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B4591D" w:rsidRDefault="00B4591D" w:rsidP="00004014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B4591D" w:rsidRPr="00FE23A5" w:rsidRDefault="00B4591D" w:rsidP="003B4A80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3E1E82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3E1E82">
        <w:rPr>
          <w:rFonts w:ascii="Times New Roman" w:hAnsi="Times New Roman"/>
          <w:b/>
          <w:sz w:val="28"/>
          <w:szCs w:val="28"/>
        </w:rPr>
        <w:t xml:space="preserve"> депутат України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</w:t>
      </w:r>
      <w:r w:rsidRPr="003E1E82">
        <w:rPr>
          <w:rFonts w:ascii="Times New Roman" w:hAnsi="Times New Roman"/>
          <w:b/>
          <w:bCs/>
          <w:color w:val="000000"/>
          <w:sz w:val="28"/>
          <w:szCs w:val="28"/>
        </w:rPr>
        <w:t>Гривко С.Д. (посв. №110)</w:t>
      </w:r>
    </w:p>
    <w:sectPr w:rsidR="00B4591D" w:rsidRPr="00FE23A5" w:rsidSect="00494202">
      <w:footerReference w:type="even" r:id="rId10"/>
      <w:footerReference w:type="default" r:id="rId11"/>
      <w:pgSz w:w="16838" w:h="11906" w:orient="landscape"/>
      <w:pgMar w:top="899" w:right="850" w:bottom="719" w:left="85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ADB" w:rsidRDefault="000C0ADB">
      <w:r>
        <w:separator/>
      </w:r>
    </w:p>
  </w:endnote>
  <w:endnote w:type="continuationSeparator" w:id="0">
    <w:p w:rsidR="000C0ADB" w:rsidRDefault="000C0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837" w:rsidRDefault="00237837" w:rsidP="00173D03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37837" w:rsidRDefault="00237837" w:rsidP="00B04E42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837" w:rsidRDefault="0023783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22B7">
      <w:rPr>
        <w:noProof/>
      </w:rPr>
      <w:t>2</w:t>
    </w:r>
    <w:r>
      <w:fldChar w:fldCharType="end"/>
    </w:r>
  </w:p>
  <w:p w:rsidR="00237837" w:rsidRDefault="00237837" w:rsidP="00B04E42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ADB" w:rsidRDefault="000C0ADB">
      <w:r>
        <w:separator/>
      </w:r>
    </w:p>
  </w:footnote>
  <w:footnote w:type="continuationSeparator" w:id="0">
    <w:p w:rsidR="000C0ADB" w:rsidRDefault="000C0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366C6"/>
    <w:multiLevelType w:val="hybridMultilevel"/>
    <w:tmpl w:val="821E2998"/>
    <w:lvl w:ilvl="0" w:tplc="F88A6C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4F"/>
    <w:rsid w:val="00004014"/>
    <w:rsid w:val="00007C62"/>
    <w:rsid w:val="0001206B"/>
    <w:rsid w:val="000122B7"/>
    <w:rsid w:val="000231F9"/>
    <w:rsid w:val="00046478"/>
    <w:rsid w:val="0005301A"/>
    <w:rsid w:val="000863CA"/>
    <w:rsid w:val="000A28B5"/>
    <w:rsid w:val="000C0ADB"/>
    <w:rsid w:val="000D6ED5"/>
    <w:rsid w:val="000E2FBB"/>
    <w:rsid w:val="00111336"/>
    <w:rsid w:val="00153E09"/>
    <w:rsid w:val="00160C5C"/>
    <w:rsid w:val="001650F3"/>
    <w:rsid w:val="00170559"/>
    <w:rsid w:val="00173D03"/>
    <w:rsid w:val="00191CAC"/>
    <w:rsid w:val="001A3DA6"/>
    <w:rsid w:val="001E2186"/>
    <w:rsid w:val="00204399"/>
    <w:rsid w:val="0020684F"/>
    <w:rsid w:val="00214DF7"/>
    <w:rsid w:val="002349FB"/>
    <w:rsid w:val="00237837"/>
    <w:rsid w:val="00250552"/>
    <w:rsid w:val="0025386E"/>
    <w:rsid w:val="00253CD5"/>
    <w:rsid w:val="00290750"/>
    <w:rsid w:val="00297552"/>
    <w:rsid w:val="002F0FB0"/>
    <w:rsid w:val="002F18E7"/>
    <w:rsid w:val="002F4967"/>
    <w:rsid w:val="003146FE"/>
    <w:rsid w:val="00317ABE"/>
    <w:rsid w:val="00353EE0"/>
    <w:rsid w:val="0039290F"/>
    <w:rsid w:val="003A4171"/>
    <w:rsid w:val="003B4A80"/>
    <w:rsid w:val="003C75B8"/>
    <w:rsid w:val="003D48DE"/>
    <w:rsid w:val="003E1E82"/>
    <w:rsid w:val="004046B1"/>
    <w:rsid w:val="00424E96"/>
    <w:rsid w:val="00430681"/>
    <w:rsid w:val="00494202"/>
    <w:rsid w:val="004B2885"/>
    <w:rsid w:val="004B6D17"/>
    <w:rsid w:val="004C2C5C"/>
    <w:rsid w:val="004C79E6"/>
    <w:rsid w:val="004E3816"/>
    <w:rsid w:val="004F42B0"/>
    <w:rsid w:val="0050737F"/>
    <w:rsid w:val="005249B6"/>
    <w:rsid w:val="00533615"/>
    <w:rsid w:val="005A41F9"/>
    <w:rsid w:val="005B1F0C"/>
    <w:rsid w:val="005D0753"/>
    <w:rsid w:val="005E5F42"/>
    <w:rsid w:val="006010F7"/>
    <w:rsid w:val="006254C3"/>
    <w:rsid w:val="006548B0"/>
    <w:rsid w:val="00667966"/>
    <w:rsid w:val="00672770"/>
    <w:rsid w:val="00682512"/>
    <w:rsid w:val="006A68CA"/>
    <w:rsid w:val="006D2513"/>
    <w:rsid w:val="006D73F8"/>
    <w:rsid w:val="006E0A1D"/>
    <w:rsid w:val="00714484"/>
    <w:rsid w:val="00764EF1"/>
    <w:rsid w:val="00780FBF"/>
    <w:rsid w:val="007E654F"/>
    <w:rsid w:val="0081164A"/>
    <w:rsid w:val="00811DC4"/>
    <w:rsid w:val="008466A4"/>
    <w:rsid w:val="00881668"/>
    <w:rsid w:val="00895056"/>
    <w:rsid w:val="008A2209"/>
    <w:rsid w:val="008B7851"/>
    <w:rsid w:val="008E21E9"/>
    <w:rsid w:val="008F6F9C"/>
    <w:rsid w:val="00907362"/>
    <w:rsid w:val="009371A9"/>
    <w:rsid w:val="0094763B"/>
    <w:rsid w:val="009660CA"/>
    <w:rsid w:val="00975F7B"/>
    <w:rsid w:val="0098484F"/>
    <w:rsid w:val="00997343"/>
    <w:rsid w:val="009B20C3"/>
    <w:rsid w:val="009C143B"/>
    <w:rsid w:val="009D033C"/>
    <w:rsid w:val="009D6B83"/>
    <w:rsid w:val="009E0895"/>
    <w:rsid w:val="00A2137D"/>
    <w:rsid w:val="00A4240A"/>
    <w:rsid w:val="00A96975"/>
    <w:rsid w:val="00AC7094"/>
    <w:rsid w:val="00AC78EC"/>
    <w:rsid w:val="00B04E42"/>
    <w:rsid w:val="00B4591D"/>
    <w:rsid w:val="00B828C2"/>
    <w:rsid w:val="00B82EE0"/>
    <w:rsid w:val="00B86659"/>
    <w:rsid w:val="00BB2072"/>
    <w:rsid w:val="00BF2AA7"/>
    <w:rsid w:val="00C06772"/>
    <w:rsid w:val="00C1527C"/>
    <w:rsid w:val="00C5271B"/>
    <w:rsid w:val="00CA7FCD"/>
    <w:rsid w:val="00CC0795"/>
    <w:rsid w:val="00CC5B98"/>
    <w:rsid w:val="00CD2454"/>
    <w:rsid w:val="00CE2D09"/>
    <w:rsid w:val="00D26A10"/>
    <w:rsid w:val="00D44D56"/>
    <w:rsid w:val="00D64D50"/>
    <w:rsid w:val="00D725E8"/>
    <w:rsid w:val="00D85816"/>
    <w:rsid w:val="00D91418"/>
    <w:rsid w:val="00DE5FE5"/>
    <w:rsid w:val="00E37E25"/>
    <w:rsid w:val="00E43672"/>
    <w:rsid w:val="00E61218"/>
    <w:rsid w:val="00E96135"/>
    <w:rsid w:val="00EE550A"/>
    <w:rsid w:val="00F011E6"/>
    <w:rsid w:val="00F47831"/>
    <w:rsid w:val="00F7375C"/>
    <w:rsid w:val="00FB34DB"/>
    <w:rsid w:val="00FE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432CA60D-6241-4FEB-A00A-BD7F85FEB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able of authorities" w:locked="1"/>
    <w:lsdException w:name="List" w:locked="1"/>
    <w:lsdException w:name="List Bullet" w:locked="1"/>
    <w:lsdException w:name="Title" w:locked="1" w:qFormat="1"/>
    <w:lsdException w:name="Default Paragraph Font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0C3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4014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B04E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04E42"/>
    <w:rPr>
      <w:rFonts w:cs="Times New Roman"/>
    </w:rPr>
  </w:style>
  <w:style w:type="character" w:styleId="a7">
    <w:name w:val="Hyperlink"/>
    <w:basedOn w:val="a0"/>
    <w:rsid w:val="00D91418"/>
    <w:rPr>
      <w:rFonts w:cs="Times New Roman"/>
      <w:color w:val="0000FF"/>
      <w:u w:val="single"/>
    </w:rPr>
  </w:style>
  <w:style w:type="paragraph" w:customStyle="1" w:styleId="rvps2">
    <w:name w:val="rvps2"/>
    <w:basedOn w:val="a"/>
    <w:qFormat/>
    <w:rsid w:val="005249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975F7B"/>
    <w:rPr>
      <w:rFonts w:cs="Times New Roman"/>
    </w:rPr>
  </w:style>
  <w:style w:type="paragraph" w:styleId="a8">
    <w:name w:val="header"/>
    <w:basedOn w:val="a"/>
    <w:rsid w:val="0050737F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0"/>
    <w:link w:val="a4"/>
    <w:uiPriority w:val="99"/>
    <w:rsid w:val="00494202"/>
    <w:rPr>
      <w:sz w:val="22"/>
      <w:szCs w:val="22"/>
      <w:lang w:eastAsia="en-US"/>
    </w:rPr>
  </w:style>
  <w:style w:type="character" w:customStyle="1" w:styleId="rvts37">
    <w:name w:val="rvts37"/>
    <w:basedOn w:val="a0"/>
    <w:rsid w:val="006254C3"/>
  </w:style>
  <w:style w:type="character" w:customStyle="1" w:styleId="rvts9">
    <w:name w:val="rvts9"/>
    <w:basedOn w:val="a0"/>
    <w:rsid w:val="00E61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34B326-0030-4BF4-8D9D-4C42F23CE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DD5E5-B02A-4B3A-8D6C-2E49FAC2F5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37787A-0AEF-459D-980C-23AF55CD7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3973</Words>
  <Characters>2265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2021-10-26T13:29:00Z</dcterms:created>
  <dcterms:modified xsi:type="dcterms:W3CDTF">2021-10-26T13:29:00Z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