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240ABF" w:rsidRDefault="00B3176C">
      <w:pPr>
        <w:pBdr>
          <w:top w:val="none" w:sz="0" w:space="0" w:color="000000"/>
          <w:left w:val="none" w:sz="0" w:space="0" w:color="000000"/>
          <w:bottom w:val="none" w:sz="0" w:space="0" w:color="000000"/>
          <w:right w:val="none" w:sz="0" w:space="0" w:color="000000"/>
        </w:pBdr>
        <w:ind w:left="5940" w:right="540"/>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Проект</w:t>
      </w:r>
    </w:p>
    <w:p w14:paraId="00000002" w14:textId="77777777" w:rsidR="00240ABF" w:rsidRDefault="00B3176C">
      <w:pPr>
        <w:pBdr>
          <w:top w:val="none" w:sz="0" w:space="0" w:color="000000"/>
          <w:left w:val="none" w:sz="0" w:space="0" w:color="000000"/>
          <w:bottom w:val="none" w:sz="0" w:space="0" w:color="000000"/>
          <w:right w:val="none" w:sz="0" w:space="0" w:color="000000"/>
        </w:pBdr>
        <w:ind w:left="59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вноситься народними</w:t>
      </w:r>
    </w:p>
    <w:p w14:paraId="00000003" w14:textId="77777777" w:rsidR="00240ABF" w:rsidRDefault="00B3176C">
      <w:pPr>
        <w:pBdr>
          <w:top w:val="none" w:sz="0" w:space="0" w:color="000000"/>
          <w:left w:val="none" w:sz="0" w:space="0" w:color="000000"/>
          <w:bottom w:val="none" w:sz="0" w:space="0" w:color="000000"/>
          <w:right w:val="none" w:sz="0" w:space="0" w:color="000000"/>
        </w:pBdr>
        <w:ind w:left="59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депутатами України</w:t>
      </w:r>
    </w:p>
    <w:p w14:paraId="00000004" w14:textId="77777777" w:rsidR="00240ABF" w:rsidRDefault="00B3176C">
      <w:pPr>
        <w:pBdr>
          <w:top w:val="none" w:sz="0" w:space="0" w:color="000000"/>
          <w:left w:val="none" w:sz="0" w:space="0" w:color="000000"/>
          <w:bottom w:val="none" w:sz="0" w:space="0" w:color="000000"/>
          <w:right w:val="none" w:sz="0" w:space="0" w:color="000000"/>
        </w:pBdr>
        <w:ind w:left="5940"/>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t>Совсун</w:t>
      </w:r>
      <w:proofErr w:type="spellEnd"/>
      <w:r>
        <w:rPr>
          <w:rFonts w:ascii="Times New Roman" w:eastAsia="Times New Roman" w:hAnsi="Times New Roman" w:cs="Times New Roman"/>
          <w:b/>
          <w:sz w:val="28"/>
          <w:szCs w:val="28"/>
        </w:rPr>
        <w:t xml:space="preserve"> І.Р. (</w:t>
      </w:r>
      <w:proofErr w:type="spellStart"/>
      <w:r>
        <w:rPr>
          <w:rFonts w:ascii="Times New Roman" w:eastAsia="Times New Roman" w:hAnsi="Times New Roman" w:cs="Times New Roman"/>
          <w:b/>
          <w:sz w:val="28"/>
          <w:szCs w:val="28"/>
        </w:rPr>
        <w:t>посв</w:t>
      </w:r>
      <w:proofErr w:type="spellEnd"/>
      <w:r>
        <w:rPr>
          <w:rFonts w:ascii="Times New Roman" w:eastAsia="Times New Roman" w:hAnsi="Times New Roman" w:cs="Times New Roman"/>
          <w:b/>
          <w:sz w:val="28"/>
          <w:szCs w:val="28"/>
        </w:rPr>
        <w:t>. 223)</w:t>
      </w:r>
    </w:p>
    <w:p w14:paraId="00000005" w14:textId="77777777" w:rsidR="00240ABF" w:rsidRDefault="00240ABF">
      <w:pPr>
        <w:pBdr>
          <w:top w:val="none" w:sz="0" w:space="0" w:color="000000"/>
          <w:left w:val="none" w:sz="0" w:space="0" w:color="000000"/>
          <w:bottom w:val="none" w:sz="0" w:space="0" w:color="000000"/>
          <w:right w:val="none" w:sz="0" w:space="0" w:color="000000"/>
        </w:pBdr>
        <w:ind w:right="540"/>
        <w:rPr>
          <w:rFonts w:ascii="Times New Roman" w:eastAsia="Times New Roman" w:hAnsi="Times New Roman" w:cs="Times New Roman"/>
          <w:b/>
          <w:sz w:val="28"/>
          <w:szCs w:val="28"/>
        </w:rPr>
      </w:pPr>
    </w:p>
    <w:p w14:paraId="00000006" w14:textId="77777777" w:rsidR="00240ABF" w:rsidRDefault="00240ABF">
      <w:pPr>
        <w:pBdr>
          <w:top w:val="none" w:sz="0" w:space="0" w:color="000000"/>
          <w:left w:val="none" w:sz="0" w:space="0" w:color="000000"/>
          <w:bottom w:val="none" w:sz="0" w:space="0" w:color="000000"/>
          <w:right w:val="none" w:sz="0" w:space="0" w:color="000000"/>
        </w:pBdr>
        <w:ind w:right="540"/>
        <w:rPr>
          <w:rFonts w:ascii="Times New Roman" w:eastAsia="Times New Roman" w:hAnsi="Times New Roman" w:cs="Times New Roman"/>
          <w:b/>
          <w:sz w:val="28"/>
          <w:szCs w:val="28"/>
        </w:rPr>
      </w:pPr>
    </w:p>
    <w:p w14:paraId="00000007" w14:textId="77777777" w:rsidR="00240ABF" w:rsidRDefault="00B3176C">
      <w:pPr>
        <w:pBdr>
          <w:top w:val="none" w:sz="0" w:space="0" w:color="000000"/>
          <w:left w:val="none" w:sz="0" w:space="0" w:color="000000"/>
          <w:bottom w:val="none" w:sz="0" w:space="0" w:color="000000"/>
          <w:right w:val="none" w:sz="0" w:space="0" w:color="000000"/>
        </w:pBdr>
        <w:ind w:right="5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ab/>
      </w:r>
    </w:p>
    <w:p w14:paraId="00000008" w14:textId="77777777" w:rsidR="00240ABF" w:rsidRDefault="00B3176C">
      <w:pPr>
        <w:pBdr>
          <w:top w:val="none" w:sz="0" w:space="0" w:color="000000"/>
          <w:left w:val="none" w:sz="0" w:space="0" w:color="000000"/>
          <w:bottom w:val="none" w:sz="0" w:space="0" w:color="000000"/>
          <w:right w:val="none" w:sz="0" w:space="0" w:color="000000"/>
        </w:pBdr>
        <w:spacing w:before="240" w:after="16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ЗАКОН УКРАЇНИ</w:t>
      </w:r>
    </w:p>
    <w:p w14:paraId="00000009" w14:textId="77777777" w:rsidR="00240ABF" w:rsidRDefault="00240ABF">
      <w:pPr>
        <w:pBdr>
          <w:top w:val="none" w:sz="0" w:space="0" w:color="000000"/>
          <w:left w:val="none" w:sz="0" w:space="0" w:color="000000"/>
          <w:bottom w:val="none" w:sz="0" w:space="0" w:color="000000"/>
          <w:right w:val="none" w:sz="0" w:space="0" w:color="000000"/>
        </w:pBdr>
        <w:spacing w:line="240" w:lineRule="auto"/>
        <w:jc w:val="center"/>
        <w:rPr>
          <w:rFonts w:ascii="Times New Roman" w:eastAsia="Times New Roman" w:hAnsi="Times New Roman" w:cs="Times New Roman"/>
          <w:b/>
          <w:sz w:val="28"/>
          <w:szCs w:val="28"/>
        </w:rPr>
      </w:pPr>
    </w:p>
    <w:p w14:paraId="0000000A" w14:textId="77777777" w:rsidR="00240ABF" w:rsidRDefault="00B3176C">
      <w:pPr>
        <w:pBdr>
          <w:top w:val="none" w:sz="0" w:space="0" w:color="000000"/>
          <w:left w:val="none" w:sz="0" w:space="0" w:color="000000"/>
          <w:bottom w:val="none" w:sz="0" w:space="0" w:color="000000"/>
          <w:right w:val="none" w:sz="0" w:space="0" w:color="000000"/>
        </w:pBd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Про внесення змін до Закону України «Про особливості правового режиму діяльності Національної академії наук України, національних галузевих академій наук та статусу їх майнового комплексу»</w:t>
      </w:r>
    </w:p>
    <w:p w14:paraId="0000000B" w14:textId="77777777" w:rsidR="00240ABF" w:rsidRDefault="00B3176C">
      <w:pPr>
        <w:pBdr>
          <w:top w:val="none" w:sz="0" w:space="0" w:color="000000"/>
          <w:left w:val="none" w:sz="0" w:space="0" w:color="000000"/>
          <w:bottom w:val="none" w:sz="0" w:space="0" w:color="000000"/>
          <w:right w:val="none" w:sz="0" w:space="0" w:color="000000"/>
        </w:pBd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щодо пріоритетності використання нерухомого майна для наукової дія</w:t>
      </w:r>
      <w:r>
        <w:rPr>
          <w:rFonts w:ascii="Times New Roman" w:eastAsia="Times New Roman" w:hAnsi="Times New Roman" w:cs="Times New Roman"/>
          <w:b/>
          <w:sz w:val="28"/>
          <w:szCs w:val="28"/>
        </w:rPr>
        <w:t>льності</w:t>
      </w:r>
    </w:p>
    <w:p w14:paraId="0000000C" w14:textId="77777777" w:rsidR="00240ABF" w:rsidRDefault="00240ABF">
      <w:pPr>
        <w:ind w:firstLine="720"/>
        <w:rPr>
          <w:rFonts w:ascii="Times New Roman" w:eastAsia="Times New Roman" w:hAnsi="Times New Roman" w:cs="Times New Roman"/>
          <w:sz w:val="28"/>
          <w:szCs w:val="28"/>
        </w:rPr>
      </w:pPr>
    </w:p>
    <w:p w14:paraId="0000000D" w14:textId="77777777" w:rsidR="00240ABF" w:rsidRDefault="00240ABF">
      <w:pPr>
        <w:ind w:firstLine="720"/>
        <w:rPr>
          <w:rFonts w:ascii="Times New Roman" w:eastAsia="Times New Roman" w:hAnsi="Times New Roman" w:cs="Times New Roman"/>
          <w:sz w:val="28"/>
          <w:szCs w:val="28"/>
        </w:rPr>
      </w:pPr>
    </w:p>
    <w:p w14:paraId="0000000E" w14:textId="77777777" w:rsidR="00240ABF" w:rsidRDefault="00B3176C">
      <w:pPr>
        <w:ind w:firstLine="720"/>
        <w:jc w:val="both"/>
        <w:rPr>
          <w:rFonts w:ascii="Times New Roman" w:eastAsia="Times New Roman" w:hAnsi="Times New Roman" w:cs="Times New Roman"/>
          <w:sz w:val="28"/>
          <w:szCs w:val="28"/>
        </w:rPr>
      </w:pPr>
      <w:bookmarkStart w:id="1" w:name="_heading=h.gjdgxs" w:colFirst="0" w:colLast="0"/>
      <w:bookmarkEnd w:id="1"/>
      <w:r>
        <w:rPr>
          <w:rFonts w:ascii="Times New Roman" w:eastAsia="Times New Roman" w:hAnsi="Times New Roman" w:cs="Times New Roman"/>
          <w:sz w:val="28"/>
          <w:szCs w:val="28"/>
        </w:rPr>
        <w:t xml:space="preserve">І. </w:t>
      </w:r>
      <w:proofErr w:type="spellStart"/>
      <w:r>
        <w:rPr>
          <w:rFonts w:ascii="Times New Roman" w:eastAsia="Times New Roman" w:hAnsi="Times New Roman" w:cs="Times New Roman"/>
          <w:sz w:val="28"/>
          <w:szCs w:val="28"/>
        </w:rPr>
        <w:t>Внести</w:t>
      </w:r>
      <w:proofErr w:type="spellEnd"/>
      <w:r>
        <w:rPr>
          <w:rFonts w:ascii="Times New Roman" w:eastAsia="Times New Roman" w:hAnsi="Times New Roman" w:cs="Times New Roman"/>
          <w:sz w:val="28"/>
          <w:szCs w:val="28"/>
        </w:rPr>
        <w:t xml:space="preserve"> зміни до Закону України «Про особливості правового режиму діяльності Національної академії наук України, національних галузевих академій наук та статусу їх майнового комплексу» (Відомості Верховної Ради України (ВВР), 2002, № 30, ст.205</w:t>
      </w:r>
      <w:r>
        <w:rPr>
          <w:rFonts w:ascii="Times New Roman" w:eastAsia="Times New Roman" w:hAnsi="Times New Roman" w:cs="Times New Roman"/>
          <w:sz w:val="28"/>
          <w:szCs w:val="28"/>
        </w:rPr>
        <w:t>):</w:t>
      </w:r>
    </w:p>
    <w:p w14:paraId="0000000F" w14:textId="77777777" w:rsidR="00240ABF" w:rsidRDefault="00240ABF">
      <w:pPr>
        <w:ind w:firstLine="720"/>
        <w:jc w:val="both"/>
        <w:rPr>
          <w:rFonts w:ascii="Times New Roman" w:eastAsia="Times New Roman" w:hAnsi="Times New Roman" w:cs="Times New Roman"/>
          <w:sz w:val="28"/>
          <w:szCs w:val="28"/>
        </w:rPr>
      </w:pPr>
      <w:bookmarkStart w:id="2" w:name="_heading=h.1yyjqsk7dwz1" w:colFirst="0" w:colLast="0"/>
      <w:bookmarkEnd w:id="2"/>
    </w:p>
    <w:p w14:paraId="00000010" w14:textId="77777777" w:rsidR="00240ABF" w:rsidRDefault="00B3176C">
      <w:pPr>
        <w:numPr>
          <w:ilvl w:val="0"/>
          <w:numId w:val="1"/>
        </w:numPr>
        <w:ind w:left="0"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доповнити Закон статтею 4-1 такого змісту:</w:t>
      </w:r>
    </w:p>
    <w:p w14:paraId="00000011" w14:textId="77777777" w:rsidR="00240ABF" w:rsidRDefault="00240ABF">
      <w:pPr>
        <w:ind w:left="720"/>
        <w:rPr>
          <w:rFonts w:ascii="Times New Roman" w:eastAsia="Times New Roman" w:hAnsi="Times New Roman" w:cs="Times New Roman"/>
          <w:sz w:val="28"/>
          <w:szCs w:val="28"/>
        </w:rPr>
      </w:pPr>
    </w:p>
    <w:p w14:paraId="00000012" w14:textId="77777777" w:rsidR="00240ABF" w:rsidRDefault="00B3176C">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4-1. Пріоритетність використання нерухомого майна Національної академії наук України та національних галузевих академій наук для наукової діяльності</w:t>
      </w:r>
    </w:p>
    <w:p w14:paraId="00000013" w14:textId="77777777" w:rsidR="00240ABF" w:rsidRDefault="00240ABF">
      <w:pPr>
        <w:ind w:firstLine="720"/>
        <w:jc w:val="both"/>
        <w:rPr>
          <w:rFonts w:ascii="Times New Roman" w:eastAsia="Times New Roman" w:hAnsi="Times New Roman" w:cs="Times New Roman"/>
          <w:sz w:val="28"/>
          <w:szCs w:val="28"/>
        </w:rPr>
      </w:pPr>
    </w:p>
    <w:p w14:paraId="00000014" w14:textId="77777777" w:rsidR="00240ABF" w:rsidRDefault="00B3176C">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Нерухоме майно Національної академії наук України, її наукових установ та національних галузевих академій наук не може бути передано в оренду для використання не для наукової (науково-дослідницької та/або науково-освітньої) діяльності, за пільговим розм</w:t>
      </w:r>
      <w:r>
        <w:rPr>
          <w:rFonts w:ascii="Times New Roman" w:eastAsia="Times New Roman" w:hAnsi="Times New Roman" w:cs="Times New Roman"/>
          <w:sz w:val="28"/>
          <w:szCs w:val="28"/>
        </w:rPr>
        <w:t>іром орендної плати, визначеної в Методиці розрахунку орендної плати, яка затверджується Кабінетом Міністрів України, якщо не була надана згода Президії відповідної академії наук та Вченої Ради відповідної наукової установи та якщо не було здійснено попере</w:t>
      </w:r>
      <w:r>
        <w:rPr>
          <w:rFonts w:ascii="Times New Roman" w:eastAsia="Times New Roman" w:hAnsi="Times New Roman" w:cs="Times New Roman"/>
          <w:sz w:val="28"/>
          <w:szCs w:val="28"/>
        </w:rPr>
        <w:t>дніх заходів для ефективного використання такого майна для наукової діяльності, визначених цією статтею.</w:t>
      </w:r>
    </w:p>
    <w:p w14:paraId="00000015" w14:textId="77777777" w:rsidR="00240ABF" w:rsidRDefault="00B3176C">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 У разі невикористання частини нерухомого майна Національної академії наук України, її наукової установи або національної галузевої академії наук про</w:t>
      </w:r>
      <w:r>
        <w:rPr>
          <w:rFonts w:ascii="Times New Roman" w:eastAsia="Times New Roman" w:hAnsi="Times New Roman" w:cs="Times New Roman"/>
          <w:sz w:val="28"/>
          <w:szCs w:val="28"/>
        </w:rPr>
        <w:t xml:space="preserve">тягом 3 місяців, питання про її подальше використання виноситься директором наукової установи на розгляд Вченої Ради відповідної наукової установи. Після обговорення питання Вчена Рада приймає рішення щодо впровадження заходів для ефективного використання </w:t>
      </w:r>
      <w:r>
        <w:rPr>
          <w:rFonts w:ascii="Times New Roman" w:eastAsia="Times New Roman" w:hAnsi="Times New Roman" w:cs="Times New Roman"/>
          <w:sz w:val="28"/>
          <w:szCs w:val="28"/>
        </w:rPr>
        <w:t xml:space="preserve">майна, шляхом відкритого голосування простою більшістю голосів, та призначає особу, відповідальну за контроль їх реалізації. </w:t>
      </w:r>
    </w:p>
    <w:p w14:paraId="00000016" w14:textId="77777777" w:rsidR="00240ABF" w:rsidRDefault="00B3176C">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У випадку, якщо прийняті механізми не призвели до початку ефективного використання</w:t>
      </w:r>
      <w:r>
        <w:t xml:space="preserve"> </w:t>
      </w:r>
      <w:r>
        <w:rPr>
          <w:rFonts w:ascii="Times New Roman" w:eastAsia="Times New Roman" w:hAnsi="Times New Roman" w:cs="Times New Roman"/>
          <w:sz w:val="28"/>
          <w:szCs w:val="28"/>
        </w:rPr>
        <w:t>нерухомого майна протягом 6 місяців з дня пр</w:t>
      </w:r>
      <w:r>
        <w:rPr>
          <w:rFonts w:ascii="Times New Roman" w:eastAsia="Times New Roman" w:hAnsi="Times New Roman" w:cs="Times New Roman"/>
          <w:sz w:val="28"/>
          <w:szCs w:val="28"/>
        </w:rPr>
        <w:t>ийняття рішення про їх впровадження, директор наукової установи повідомляє про це Президії відповідної академії наук. Президія невідкладно, письмово чи за допомогою телетайпного, електронного або іншого технічного засобу зв'язку інформує інші установи відп</w:t>
      </w:r>
      <w:r>
        <w:rPr>
          <w:rFonts w:ascii="Times New Roman" w:eastAsia="Times New Roman" w:hAnsi="Times New Roman" w:cs="Times New Roman"/>
          <w:sz w:val="28"/>
          <w:szCs w:val="28"/>
        </w:rPr>
        <w:t>овідної академії про наявність невикористовуваного нерухомого майна та пропонує надати пропозиції щодо його ефективного використання.</w:t>
      </w:r>
    </w:p>
    <w:p w14:paraId="00000017" w14:textId="77777777" w:rsidR="00240ABF" w:rsidRDefault="00B3176C">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Пропозиції щодо ефективного використання нерухомого майна приймаються Президією відповідної академії наук протягом 60 д</w:t>
      </w:r>
      <w:r>
        <w:rPr>
          <w:rFonts w:ascii="Times New Roman" w:eastAsia="Times New Roman" w:hAnsi="Times New Roman" w:cs="Times New Roman"/>
          <w:sz w:val="28"/>
          <w:szCs w:val="28"/>
        </w:rPr>
        <w:t xml:space="preserve">нів з дня повідомлення. </w:t>
      </w:r>
    </w:p>
    <w:p w14:paraId="00000018" w14:textId="77777777" w:rsidR="00240ABF" w:rsidRDefault="00B3176C">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Пропозиція подається Президії відповідної академії наук у письмовому вигляді щонайменше одним працівником Національної академії наук України, відповідної наукової установи Національної академії наук чи національної галузевої ака</w:t>
      </w:r>
      <w:r>
        <w:rPr>
          <w:rFonts w:ascii="Times New Roman" w:eastAsia="Times New Roman" w:hAnsi="Times New Roman" w:cs="Times New Roman"/>
          <w:sz w:val="28"/>
          <w:szCs w:val="28"/>
        </w:rPr>
        <w:t xml:space="preserve">демії наук. </w:t>
      </w:r>
    </w:p>
    <w:p w14:paraId="00000019" w14:textId="77777777" w:rsidR="00240ABF" w:rsidRDefault="00B3176C">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Якщо всі подані пропозиції до використання нерухомого майна для наукової діяльності були обґрунтовано відхилені, Президія відповідної академії наук може надати згоду на укладення договору за пільговим розміром орендної плати, після обговоре</w:t>
      </w:r>
      <w:r>
        <w:rPr>
          <w:rFonts w:ascii="Times New Roman" w:eastAsia="Times New Roman" w:hAnsi="Times New Roman" w:cs="Times New Roman"/>
          <w:sz w:val="28"/>
          <w:szCs w:val="28"/>
        </w:rPr>
        <w:t>ння цього питання на засіданні шляхом відкритого голосування простою більшістю голосів.</w:t>
      </w:r>
    </w:p>
    <w:p w14:paraId="0000001A" w14:textId="77777777" w:rsidR="00240ABF" w:rsidRDefault="00B3176C">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Договори про передання нерухомого майна Національної академії наук України, відповідної наукової установи Національної академії наук чи національної галузевої академ</w:t>
      </w:r>
      <w:r>
        <w:rPr>
          <w:rFonts w:ascii="Times New Roman" w:eastAsia="Times New Roman" w:hAnsi="Times New Roman" w:cs="Times New Roman"/>
          <w:sz w:val="28"/>
          <w:szCs w:val="28"/>
        </w:rPr>
        <w:t>ії наук в оренду чи для використання за пільговим розміром орендної плати, укладені без дотримання вимог цієї статті, є нікчемними.</w:t>
      </w:r>
    </w:p>
    <w:p w14:paraId="0000001B" w14:textId="77777777" w:rsidR="00240ABF" w:rsidRDefault="00240ABF">
      <w:pPr>
        <w:ind w:firstLine="720"/>
        <w:jc w:val="both"/>
        <w:rPr>
          <w:rFonts w:ascii="Times New Roman" w:eastAsia="Times New Roman" w:hAnsi="Times New Roman" w:cs="Times New Roman"/>
          <w:sz w:val="28"/>
          <w:szCs w:val="28"/>
        </w:rPr>
      </w:pPr>
    </w:p>
    <w:p w14:paraId="0000001C" w14:textId="77777777" w:rsidR="00240ABF" w:rsidRDefault="00B3176C">
      <w:pPr>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ІІ. Прикінцеві положення</w:t>
      </w:r>
    </w:p>
    <w:p w14:paraId="0000001D" w14:textId="77777777" w:rsidR="00240ABF" w:rsidRDefault="00240ABF">
      <w:pPr>
        <w:ind w:firstLine="720"/>
        <w:rPr>
          <w:rFonts w:ascii="Times New Roman" w:eastAsia="Times New Roman" w:hAnsi="Times New Roman" w:cs="Times New Roman"/>
          <w:sz w:val="28"/>
          <w:szCs w:val="28"/>
        </w:rPr>
      </w:pPr>
    </w:p>
    <w:p w14:paraId="0000001E" w14:textId="77777777" w:rsidR="00240ABF" w:rsidRDefault="00B3176C">
      <w:pPr>
        <w:ind w:firstLine="720"/>
        <w:jc w:val="both"/>
        <w:rPr>
          <w:rFonts w:ascii="Times New Roman" w:eastAsia="Times New Roman" w:hAnsi="Times New Roman" w:cs="Times New Roman"/>
          <w:sz w:val="28"/>
          <w:szCs w:val="28"/>
        </w:rPr>
      </w:pPr>
      <w:bookmarkStart w:id="3" w:name="_heading=h.30j0zll" w:colFirst="0" w:colLast="0"/>
      <w:bookmarkEnd w:id="3"/>
      <w:r>
        <w:rPr>
          <w:rFonts w:ascii="Times New Roman" w:eastAsia="Times New Roman" w:hAnsi="Times New Roman" w:cs="Times New Roman"/>
          <w:sz w:val="28"/>
          <w:szCs w:val="28"/>
        </w:rPr>
        <w:lastRenderedPageBreak/>
        <w:t>1. Цей Закон набирає чинності з дня, наступного за днем його опублікування.</w:t>
      </w:r>
    </w:p>
    <w:p w14:paraId="0000001F" w14:textId="77777777" w:rsidR="00240ABF" w:rsidRDefault="00240ABF">
      <w:pPr>
        <w:rPr>
          <w:rFonts w:ascii="Times New Roman" w:eastAsia="Times New Roman" w:hAnsi="Times New Roman" w:cs="Times New Roman"/>
          <w:sz w:val="28"/>
          <w:szCs w:val="28"/>
        </w:rPr>
      </w:pPr>
    </w:p>
    <w:p w14:paraId="00000020" w14:textId="77777777" w:rsidR="00240ABF" w:rsidRDefault="00B3176C">
      <w:pPr>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 </w:t>
      </w:r>
      <w:r>
        <w:rPr>
          <w:rFonts w:ascii="Times New Roman" w:eastAsia="Times New Roman" w:hAnsi="Times New Roman" w:cs="Times New Roman"/>
          <w:sz w:val="28"/>
          <w:szCs w:val="28"/>
        </w:rPr>
        <w:tab/>
        <w:t xml:space="preserve"> </w:t>
      </w:r>
      <w:r>
        <w:rPr>
          <w:rFonts w:ascii="Times New Roman" w:eastAsia="Times New Roman" w:hAnsi="Times New Roman" w:cs="Times New Roman"/>
          <w:sz w:val="28"/>
          <w:szCs w:val="28"/>
        </w:rPr>
        <w:tab/>
        <w:t xml:space="preserve"> </w:t>
      </w:r>
      <w:r>
        <w:rPr>
          <w:rFonts w:ascii="Times New Roman" w:eastAsia="Times New Roman" w:hAnsi="Times New Roman" w:cs="Times New Roman"/>
          <w:sz w:val="28"/>
          <w:szCs w:val="28"/>
        </w:rPr>
        <w:tab/>
      </w:r>
    </w:p>
    <w:p w14:paraId="00000021" w14:textId="77777777" w:rsidR="00240ABF" w:rsidRDefault="00B3176C">
      <w:pPr>
        <w:spacing w:before="120" w:after="120" w:line="259"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Голова Верхо</w:t>
      </w:r>
      <w:r>
        <w:rPr>
          <w:rFonts w:ascii="Times New Roman" w:eastAsia="Times New Roman" w:hAnsi="Times New Roman" w:cs="Times New Roman"/>
          <w:b/>
          <w:sz w:val="28"/>
          <w:szCs w:val="28"/>
        </w:rPr>
        <w:t>вної Ради</w:t>
      </w:r>
    </w:p>
    <w:p w14:paraId="00000022" w14:textId="77777777" w:rsidR="00240ABF" w:rsidRDefault="00B3176C">
      <w:pPr>
        <w:spacing w:before="120" w:after="120" w:line="259"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України</w:t>
      </w:r>
    </w:p>
    <w:sectPr w:rsidR="00240AB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2E5CAE"/>
    <w:multiLevelType w:val="multilevel"/>
    <w:tmpl w:val="A9747B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ABF"/>
    <w:rsid w:val="00240ABF"/>
    <w:rsid w:val="00B3176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FB7B86-8695-4F09-9972-834F0AADF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F235A"/>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Balloon Text"/>
    <w:basedOn w:val="a"/>
    <w:link w:val="a6"/>
    <w:uiPriority w:val="99"/>
    <w:semiHidden/>
    <w:unhideWhenUsed/>
    <w:rsid w:val="00EF235A"/>
    <w:pPr>
      <w:spacing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EF235A"/>
    <w:rPr>
      <w:rFonts w:ascii="Segoe UI" w:hAnsi="Segoe UI" w:cs="Segoe UI"/>
      <w:sz w:val="18"/>
      <w:szCs w:val="18"/>
    </w:rPr>
  </w:style>
  <w:style w:type="character" w:styleId="a7">
    <w:name w:val="annotation reference"/>
    <w:basedOn w:val="a0"/>
    <w:uiPriority w:val="99"/>
    <w:semiHidden/>
    <w:unhideWhenUsed/>
    <w:rsid w:val="0059697A"/>
    <w:rPr>
      <w:sz w:val="16"/>
      <w:szCs w:val="16"/>
    </w:rPr>
  </w:style>
  <w:style w:type="paragraph" w:styleId="a8">
    <w:name w:val="annotation text"/>
    <w:basedOn w:val="a"/>
    <w:link w:val="a9"/>
    <w:uiPriority w:val="99"/>
    <w:semiHidden/>
    <w:unhideWhenUsed/>
    <w:rsid w:val="0059697A"/>
    <w:pPr>
      <w:spacing w:line="240" w:lineRule="auto"/>
    </w:pPr>
    <w:rPr>
      <w:sz w:val="20"/>
      <w:szCs w:val="20"/>
    </w:rPr>
  </w:style>
  <w:style w:type="character" w:customStyle="1" w:styleId="a9">
    <w:name w:val="Текст примітки Знак"/>
    <w:basedOn w:val="a0"/>
    <w:link w:val="a8"/>
    <w:uiPriority w:val="99"/>
    <w:semiHidden/>
    <w:rsid w:val="0059697A"/>
    <w:rPr>
      <w:sz w:val="20"/>
      <w:szCs w:val="20"/>
    </w:rPr>
  </w:style>
  <w:style w:type="paragraph" w:styleId="aa">
    <w:name w:val="annotation subject"/>
    <w:basedOn w:val="a8"/>
    <w:next w:val="a8"/>
    <w:link w:val="ab"/>
    <w:uiPriority w:val="99"/>
    <w:semiHidden/>
    <w:unhideWhenUsed/>
    <w:rsid w:val="0059697A"/>
    <w:rPr>
      <w:b/>
      <w:bCs/>
    </w:rPr>
  </w:style>
  <w:style w:type="character" w:customStyle="1" w:styleId="ab">
    <w:name w:val="Тема примітки Знак"/>
    <w:basedOn w:val="a9"/>
    <w:link w:val="aa"/>
    <w:uiPriority w:val="99"/>
    <w:semiHidden/>
    <w:rsid w:val="0059697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jf4QB3d4dXZ8OzkfK6JMgqoU43ew==">AMUW2mUYXCtPlho5d3vFXunuL7pMosgFyCQOvzarN6tgda9Dk3S17UsojXV6eKYggK9v2jGgE57wRtjwKh2Uil2pYAxKOfzjYXQxzKaaBxzgScalexc9MR4LlB6HQRvmCHwpyhttRHZMcXFE3DmlhWgNJoEjbfeVOg==</go:docsCustomData>
</go:gDocsCustomXmlDataStorage>
</file>

<file path=customXml/itemProps1.xml><?xml version="1.0" encoding="utf-8"?>
<ds:datastoreItem xmlns:ds="http://schemas.openxmlformats.org/officeDocument/2006/customXml" ds:itemID="{CCF99988-2D50-4CF9-A48D-A5318261F05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4330D9C-6ED6-4A31-945A-B73342A3BAE5}">
  <ds:schemaRefs>
    <ds:schemaRef ds:uri="http://schemas.microsoft.com/sharepoint/v3/contenttype/forms"/>
  </ds:schemaRefs>
</ds:datastoreItem>
</file>

<file path=customXml/itemProps3.xml><?xml version="1.0" encoding="utf-8"?>
<ds:datastoreItem xmlns:ds="http://schemas.openxmlformats.org/officeDocument/2006/customXml" ds:itemID="{AA2F5346-9573-4766-8D2E-04F7A9A773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2322</Words>
  <Characters>1324</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2021-11-01T13:30:00Z</dcterms:created>
  <dcterms:modified xsi:type="dcterms:W3CDTF">2021-11-01T13:30:00Z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