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73F" w:rsidRDefault="0083718B">
      <w:pPr>
        <w:spacing w:line="240" w:lineRule="auto"/>
        <w:jc w:val="center"/>
        <w:rPr>
          <w:rFonts w:ascii="Times New Roman" w:eastAsia="Times New Roman" w:hAnsi="Times New Roman" w:cs="Times New Roman"/>
          <w:b/>
          <w:sz w:val="28"/>
          <w:szCs w:val="28"/>
        </w:rPr>
      </w:pPr>
      <w:bookmarkStart w:id="0" w:name="_gjdgxs" w:colFirst="0" w:colLast="0"/>
      <w:bookmarkStart w:id="1" w:name="_GoBack"/>
      <w:bookmarkEnd w:id="0"/>
      <w:bookmarkEnd w:id="1"/>
      <w:r>
        <w:rPr>
          <w:rFonts w:ascii="Times New Roman" w:eastAsia="Times New Roman" w:hAnsi="Times New Roman" w:cs="Times New Roman"/>
          <w:b/>
          <w:sz w:val="28"/>
          <w:szCs w:val="28"/>
        </w:rPr>
        <w:t>ПОРІВНЯЛЬНА ТАБЛИЦЯ</w:t>
      </w:r>
    </w:p>
    <w:p w:rsidR="0031773F" w:rsidRDefault="0083718B">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Закону України «Про внесення змін до Закону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 щодо пріоритетності використання нерухом</w:t>
      </w:r>
      <w:r>
        <w:rPr>
          <w:rFonts w:ascii="Times New Roman" w:eastAsia="Times New Roman" w:hAnsi="Times New Roman" w:cs="Times New Roman"/>
          <w:b/>
          <w:sz w:val="28"/>
          <w:szCs w:val="28"/>
        </w:rPr>
        <w:t>ого майна для наукової діяльності»</w:t>
      </w:r>
    </w:p>
    <w:p w:rsidR="0031773F" w:rsidRDefault="0031773F">
      <w:pPr>
        <w:spacing w:line="240" w:lineRule="auto"/>
        <w:rPr>
          <w:rFonts w:ascii="Times New Roman" w:eastAsia="Times New Roman" w:hAnsi="Times New Roman" w:cs="Times New Roman"/>
          <w:sz w:val="28"/>
          <w:szCs w:val="28"/>
        </w:rPr>
      </w:pPr>
    </w:p>
    <w:tbl>
      <w:tblPr>
        <w:tblStyle w:val="a5"/>
        <w:tblW w:w="10200" w:type="dxa"/>
        <w:tblInd w:w="-2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350"/>
        <w:gridCol w:w="5850"/>
      </w:tblGrid>
      <w:tr w:rsidR="0031773F">
        <w:tc>
          <w:tcPr>
            <w:tcW w:w="4350" w:type="dxa"/>
            <w:tcMar>
              <w:top w:w="0" w:type="dxa"/>
              <w:left w:w="103" w:type="dxa"/>
              <w:bottom w:w="0" w:type="dxa"/>
              <w:right w:w="108" w:type="dxa"/>
            </w:tcMar>
            <w:vAlign w:val="center"/>
          </w:tcPr>
          <w:p w:rsidR="0031773F" w:rsidRDefault="0031773F">
            <w:pPr>
              <w:spacing w:line="240" w:lineRule="auto"/>
              <w:jc w:val="center"/>
              <w:rPr>
                <w:rFonts w:ascii="Times New Roman" w:eastAsia="Times New Roman" w:hAnsi="Times New Roman" w:cs="Times New Roman"/>
                <w:b/>
                <w:sz w:val="28"/>
                <w:szCs w:val="28"/>
              </w:rPr>
            </w:pPr>
          </w:p>
          <w:p w:rsidR="0031773F" w:rsidRDefault="0083718B">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положення (норми) чинного акту</w:t>
            </w:r>
          </w:p>
          <w:p w:rsidR="0031773F" w:rsidRDefault="0031773F">
            <w:pPr>
              <w:spacing w:line="240" w:lineRule="auto"/>
              <w:jc w:val="center"/>
              <w:rPr>
                <w:rFonts w:ascii="Times New Roman" w:eastAsia="Times New Roman" w:hAnsi="Times New Roman" w:cs="Times New Roman"/>
                <w:b/>
                <w:sz w:val="28"/>
                <w:szCs w:val="28"/>
              </w:rPr>
            </w:pPr>
          </w:p>
        </w:tc>
        <w:tc>
          <w:tcPr>
            <w:tcW w:w="5850" w:type="dxa"/>
            <w:tcMar>
              <w:top w:w="0" w:type="dxa"/>
              <w:left w:w="103" w:type="dxa"/>
              <w:bottom w:w="0" w:type="dxa"/>
              <w:right w:w="108" w:type="dxa"/>
            </w:tcMar>
            <w:vAlign w:val="center"/>
          </w:tcPr>
          <w:p w:rsidR="0031773F" w:rsidRDefault="0083718B">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відповідного положення (норми) проекту акту</w:t>
            </w:r>
          </w:p>
        </w:tc>
      </w:tr>
      <w:tr w:rsidR="0031773F">
        <w:tc>
          <w:tcPr>
            <w:tcW w:w="4350" w:type="dxa"/>
            <w:tcBorders>
              <w:bottom w:val="single" w:sz="4" w:space="0" w:color="000000"/>
            </w:tcBorders>
            <w:tcMar>
              <w:top w:w="0" w:type="dxa"/>
              <w:left w:w="103" w:type="dxa"/>
              <w:bottom w:w="0" w:type="dxa"/>
              <w:right w:w="108" w:type="dxa"/>
            </w:tcMar>
          </w:tcPr>
          <w:p w:rsidR="0031773F" w:rsidRDefault="0083718B">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Відсутня</w:t>
            </w:r>
          </w:p>
          <w:p w:rsidR="0031773F" w:rsidRDefault="0031773F">
            <w:pPr>
              <w:spacing w:line="240" w:lineRule="auto"/>
              <w:ind w:firstLine="720"/>
              <w:jc w:val="both"/>
              <w:rPr>
                <w:rFonts w:ascii="Times New Roman" w:eastAsia="Times New Roman" w:hAnsi="Times New Roman" w:cs="Times New Roman"/>
                <w:sz w:val="28"/>
                <w:szCs w:val="28"/>
              </w:rPr>
            </w:pPr>
          </w:p>
        </w:tc>
        <w:tc>
          <w:tcPr>
            <w:tcW w:w="5850" w:type="dxa"/>
            <w:tcBorders>
              <w:bottom w:val="single" w:sz="4" w:space="0" w:color="000000"/>
            </w:tcBorders>
            <w:tcMar>
              <w:top w:w="0" w:type="dxa"/>
              <w:left w:w="103" w:type="dxa"/>
              <w:bottom w:w="0" w:type="dxa"/>
              <w:right w:w="108" w:type="dxa"/>
            </w:tcMar>
          </w:tcPr>
          <w:p w:rsidR="0031773F" w:rsidRDefault="0083718B">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4-1. Пріоритетність використання нерухомого майна Національної академії наук України та національних галузевих академій наук для наукової діяльності</w:t>
            </w:r>
          </w:p>
        </w:tc>
      </w:tr>
      <w:tr w:rsidR="0031773F">
        <w:tc>
          <w:tcPr>
            <w:tcW w:w="4350" w:type="dxa"/>
            <w:tcBorders>
              <w:bottom w:val="single" w:sz="4" w:space="0" w:color="000000"/>
            </w:tcBorders>
            <w:tcMar>
              <w:top w:w="0" w:type="dxa"/>
              <w:left w:w="103" w:type="dxa"/>
              <w:bottom w:w="0" w:type="dxa"/>
              <w:right w:w="108" w:type="dxa"/>
            </w:tcMar>
          </w:tcPr>
          <w:p w:rsidR="0031773F" w:rsidRDefault="0083718B">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Відсутня</w:t>
            </w:r>
          </w:p>
        </w:tc>
        <w:tc>
          <w:tcPr>
            <w:tcW w:w="5850" w:type="dxa"/>
            <w:tcBorders>
              <w:bottom w:val="single" w:sz="4" w:space="0" w:color="000000"/>
            </w:tcBorders>
            <w:tcMar>
              <w:top w:w="0" w:type="dxa"/>
              <w:left w:w="103" w:type="dxa"/>
              <w:bottom w:w="0" w:type="dxa"/>
              <w:right w:w="108" w:type="dxa"/>
            </w:tcMar>
          </w:tcPr>
          <w:p w:rsidR="0031773F" w:rsidRDefault="0031773F">
            <w:pPr>
              <w:jc w:val="both"/>
              <w:rPr>
                <w:rFonts w:ascii="Times New Roman" w:eastAsia="Times New Roman" w:hAnsi="Times New Roman" w:cs="Times New Roman"/>
                <w:b/>
                <w:sz w:val="28"/>
                <w:szCs w:val="28"/>
              </w:rPr>
            </w:pPr>
          </w:p>
          <w:p w:rsidR="0031773F" w:rsidRDefault="0083718B">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Нерухоме майно Національної академії наук України, її наукових установ та національних</w:t>
            </w:r>
            <w:r>
              <w:rPr>
                <w:rFonts w:ascii="Times New Roman" w:eastAsia="Times New Roman" w:hAnsi="Times New Roman" w:cs="Times New Roman"/>
                <w:b/>
                <w:sz w:val="28"/>
                <w:szCs w:val="28"/>
              </w:rPr>
              <w:t xml:space="preserve"> галузевих академій наук не може бути передано в оренду для використання не для наукової (науково-дослідницької та/або науково-освітньої) діяльності, за пільговим розміром орендної плати, визначеної в Методиці розрахунку орендної плати, яка затверджується </w:t>
            </w:r>
            <w:r>
              <w:rPr>
                <w:rFonts w:ascii="Times New Roman" w:eastAsia="Times New Roman" w:hAnsi="Times New Roman" w:cs="Times New Roman"/>
                <w:b/>
                <w:sz w:val="28"/>
                <w:szCs w:val="28"/>
              </w:rPr>
              <w:t>Кабінетом Міністрів України, якщо не була надана згода Президії відповідної академії наук та Вченої Ради відповідної наукової установи та якщо не було здійснено попередніх заходів для ефективного використання такого майна для наукової діяльності, визначени</w:t>
            </w:r>
            <w:r>
              <w:rPr>
                <w:rFonts w:ascii="Times New Roman" w:eastAsia="Times New Roman" w:hAnsi="Times New Roman" w:cs="Times New Roman"/>
                <w:b/>
                <w:sz w:val="28"/>
                <w:szCs w:val="28"/>
              </w:rPr>
              <w:t>х цією статтею.</w:t>
            </w:r>
          </w:p>
          <w:p w:rsidR="0031773F" w:rsidRDefault="0083718B">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У разі невикористання частини нерухомого майна Національної академії наук України, її наукової установи або національної галузевої академії наук протягом 3 місяців, питання про її подальше використання виноситься директором </w:t>
            </w:r>
            <w:r>
              <w:rPr>
                <w:rFonts w:ascii="Times New Roman" w:eastAsia="Times New Roman" w:hAnsi="Times New Roman" w:cs="Times New Roman"/>
                <w:b/>
                <w:sz w:val="28"/>
                <w:szCs w:val="28"/>
              </w:rPr>
              <w:lastRenderedPageBreak/>
              <w:t>наукової уста</w:t>
            </w:r>
            <w:r>
              <w:rPr>
                <w:rFonts w:ascii="Times New Roman" w:eastAsia="Times New Roman" w:hAnsi="Times New Roman" w:cs="Times New Roman"/>
                <w:b/>
                <w:sz w:val="28"/>
                <w:szCs w:val="28"/>
              </w:rPr>
              <w:t>нови на розгляд Вченої Ради відповідної наукової установи. Після обговорення питання Вчена Рада приймає рішення щодо впровадження заходів для ефективного використання майна, шляхом відкритого голосування простою більшістю голосів, та призначає особу, відпо</w:t>
            </w:r>
            <w:r>
              <w:rPr>
                <w:rFonts w:ascii="Times New Roman" w:eastAsia="Times New Roman" w:hAnsi="Times New Roman" w:cs="Times New Roman"/>
                <w:b/>
                <w:sz w:val="28"/>
                <w:szCs w:val="28"/>
              </w:rPr>
              <w:t xml:space="preserve">відальну за контроль їх реалізації. </w:t>
            </w:r>
          </w:p>
          <w:p w:rsidR="0031773F" w:rsidRDefault="0083718B">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У випадку, якщо прийняті механізми не призвели до початку ефективного використання</w:t>
            </w:r>
            <w:r>
              <w:rPr>
                <w:b/>
              </w:rPr>
              <w:t xml:space="preserve"> </w:t>
            </w:r>
            <w:r>
              <w:rPr>
                <w:rFonts w:ascii="Times New Roman" w:eastAsia="Times New Roman" w:hAnsi="Times New Roman" w:cs="Times New Roman"/>
                <w:b/>
                <w:sz w:val="28"/>
                <w:szCs w:val="28"/>
              </w:rPr>
              <w:t>нерухомого майна протягом 6 місяців з дня прийняття рішення про їх впровадження, директор наукової установи повідомляє про це Президі</w:t>
            </w:r>
            <w:r>
              <w:rPr>
                <w:rFonts w:ascii="Times New Roman" w:eastAsia="Times New Roman" w:hAnsi="Times New Roman" w:cs="Times New Roman"/>
                <w:b/>
                <w:sz w:val="28"/>
                <w:szCs w:val="28"/>
              </w:rPr>
              <w:t>ї відповідної академії наук. Президія невідкладно, письмово чи за допомогою телетайпного, електронного або іншого технічного засобу зв'язку інформує інші установи відповідної академії про наявність невикористовуваного нерухомого майна та пропонує надати пр</w:t>
            </w:r>
            <w:r>
              <w:rPr>
                <w:rFonts w:ascii="Times New Roman" w:eastAsia="Times New Roman" w:hAnsi="Times New Roman" w:cs="Times New Roman"/>
                <w:b/>
                <w:sz w:val="28"/>
                <w:szCs w:val="28"/>
              </w:rPr>
              <w:t>опозиції щодо його ефективного використання.</w:t>
            </w:r>
          </w:p>
          <w:p w:rsidR="0031773F" w:rsidRDefault="0083718B">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Пропозиції щодо ефективного використання нерухомого майна приймаються Президією відповідної академії наук протягом 60 днів з дня повідомлення. </w:t>
            </w:r>
          </w:p>
          <w:p w:rsidR="0031773F" w:rsidRDefault="0083718B">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Пропозиція подається Президії відповідної академії наук у пис</w:t>
            </w:r>
            <w:r>
              <w:rPr>
                <w:rFonts w:ascii="Times New Roman" w:eastAsia="Times New Roman" w:hAnsi="Times New Roman" w:cs="Times New Roman"/>
                <w:b/>
                <w:sz w:val="28"/>
                <w:szCs w:val="28"/>
              </w:rPr>
              <w:t xml:space="preserve">ьмовому вигляді щонайменше одним працівником Національної академії наук України, відповідної наукової установи Національної академії наук чи національної галузевої академії наук. </w:t>
            </w:r>
          </w:p>
          <w:p w:rsidR="0031773F" w:rsidRDefault="0083718B">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Якщо всі подані пропозиції до використання нерухомого майна для наукової </w:t>
            </w:r>
            <w:r>
              <w:rPr>
                <w:rFonts w:ascii="Times New Roman" w:eastAsia="Times New Roman" w:hAnsi="Times New Roman" w:cs="Times New Roman"/>
                <w:b/>
                <w:sz w:val="28"/>
                <w:szCs w:val="28"/>
              </w:rPr>
              <w:t xml:space="preserve">діяльності були обґрунтовано </w:t>
            </w:r>
            <w:r>
              <w:rPr>
                <w:rFonts w:ascii="Times New Roman" w:eastAsia="Times New Roman" w:hAnsi="Times New Roman" w:cs="Times New Roman"/>
                <w:b/>
                <w:sz w:val="28"/>
                <w:szCs w:val="28"/>
              </w:rPr>
              <w:lastRenderedPageBreak/>
              <w:t>відхилені, Президія відповідної академії наук може надати згоду на укладення договору за пільговим розміром орендної плати, після обговорення цього питання на засіданні шляхом відкритого голосування простою більшістю голосів.</w:t>
            </w:r>
          </w:p>
          <w:p w:rsidR="0031773F" w:rsidRDefault="0083718B">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r>
              <w:rPr>
                <w:rFonts w:ascii="Times New Roman" w:eastAsia="Times New Roman" w:hAnsi="Times New Roman" w:cs="Times New Roman"/>
                <w:b/>
                <w:sz w:val="28"/>
                <w:szCs w:val="28"/>
              </w:rPr>
              <w:t>. Договори про передання нерухомого майна Національної академії наук України, відповідної наукової установи Національної академії наук чи національної галузевої академії наук в оренду чи для використання за пільговим розміром орендної плати, укладені без д</w:t>
            </w:r>
            <w:r>
              <w:rPr>
                <w:rFonts w:ascii="Times New Roman" w:eastAsia="Times New Roman" w:hAnsi="Times New Roman" w:cs="Times New Roman"/>
                <w:b/>
                <w:sz w:val="28"/>
                <w:szCs w:val="28"/>
              </w:rPr>
              <w:t>отримання вимог цієї статті, є нікчемними.</w:t>
            </w:r>
          </w:p>
          <w:p w:rsidR="0031773F" w:rsidRDefault="0031773F">
            <w:pPr>
              <w:ind w:firstLine="720"/>
              <w:jc w:val="both"/>
              <w:rPr>
                <w:rFonts w:ascii="Times New Roman" w:eastAsia="Times New Roman" w:hAnsi="Times New Roman" w:cs="Times New Roman"/>
                <w:b/>
                <w:sz w:val="28"/>
                <w:szCs w:val="28"/>
              </w:rPr>
            </w:pPr>
          </w:p>
          <w:p w:rsidR="0031773F" w:rsidRDefault="0031773F">
            <w:pPr>
              <w:rPr>
                <w:rFonts w:ascii="Times New Roman" w:eastAsia="Times New Roman" w:hAnsi="Times New Roman" w:cs="Times New Roman"/>
                <w:b/>
                <w:sz w:val="28"/>
                <w:szCs w:val="28"/>
              </w:rPr>
            </w:pPr>
          </w:p>
        </w:tc>
      </w:tr>
    </w:tbl>
    <w:p w:rsidR="0031773F" w:rsidRDefault="0031773F">
      <w:pPr>
        <w:spacing w:line="240" w:lineRule="auto"/>
        <w:rPr>
          <w:rFonts w:ascii="Times New Roman" w:eastAsia="Times New Roman" w:hAnsi="Times New Roman" w:cs="Times New Roman"/>
          <w:sz w:val="28"/>
          <w:szCs w:val="28"/>
        </w:rPr>
      </w:pPr>
    </w:p>
    <w:p w:rsidR="0031773F" w:rsidRDefault="0083718B">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p>
    <w:p w:rsidR="0031773F" w:rsidRDefault="0083718B">
      <w:pPr>
        <w:spacing w:before="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Народна депутатка України</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Совсун І.Р. (посв. 223)</w:t>
      </w:r>
    </w:p>
    <w:p w:rsidR="0031773F" w:rsidRDefault="0031773F">
      <w:pPr>
        <w:spacing w:line="240" w:lineRule="auto"/>
        <w:rPr>
          <w:rFonts w:ascii="Times New Roman" w:eastAsia="Times New Roman" w:hAnsi="Times New Roman" w:cs="Times New Roman"/>
          <w:sz w:val="28"/>
          <w:szCs w:val="28"/>
        </w:rPr>
      </w:pPr>
    </w:p>
    <w:p w:rsidR="0031773F" w:rsidRDefault="0031773F">
      <w:pPr>
        <w:rPr>
          <w:rFonts w:ascii="Times New Roman" w:eastAsia="Times New Roman" w:hAnsi="Times New Roman" w:cs="Times New Roman"/>
          <w:b/>
          <w:sz w:val="28"/>
          <w:szCs w:val="28"/>
        </w:rPr>
      </w:pPr>
    </w:p>
    <w:sectPr w:rsidR="0031773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73F"/>
    <w:rsid w:val="0031773F"/>
    <w:rsid w:val="008371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010664-02CC-448E-AE24-F6C7A41E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875CEB-C6DA-4D02-87B9-25221C1D2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4893FC-8AF8-4129-BF56-672197A28D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3340A6D-44EA-49D8-921F-CBC93619F5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2128</Words>
  <Characters>1214</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2021-11-01T13:31:00Z</dcterms:created>
  <dcterms:modified xsi:type="dcterms:W3CDTF">2021-11-01T13:31:00Z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