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F4C" w:rsidRDefault="009D53D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ПОЯСНЮВАЛЬНА ЗАПИСКА</w:t>
      </w:r>
    </w:p>
    <w:p w:rsidR="00A23F4C" w:rsidRDefault="009D53D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до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проекту Закону України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Про внесення змін до деяких законодавчих актів України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щ</w:t>
      </w:r>
      <w:r w:rsidRPr="00E57724">
        <w:rPr>
          <w:rFonts w:ascii="Times New Roman" w:hAnsi="Times New Roman"/>
          <w:b/>
          <w:bCs/>
          <w:sz w:val="28"/>
          <w:szCs w:val="28"/>
          <w:lang w:val="ru-RU"/>
        </w:rPr>
        <w:t>одо</w:t>
      </w:r>
      <w:r w:rsidRPr="00E57724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приведення у відповідність до Конституції</w:t>
      </w:r>
      <w:r w:rsidRPr="00E57724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норм про </w:t>
      </w:r>
      <w:r>
        <w:rPr>
          <w:rFonts w:ascii="Times New Roman" w:hAnsi="Times New Roman"/>
          <w:b/>
          <w:bCs/>
          <w:color w:val="1D2129"/>
          <w:sz w:val="28"/>
          <w:szCs w:val="28"/>
          <w:shd w:val="clear" w:color="auto" w:fill="FFFFFF"/>
          <w:lang w:val="ru-RU"/>
        </w:rPr>
        <w:t>охорон</w:t>
      </w:r>
      <w:r>
        <w:rPr>
          <w:rFonts w:ascii="Times New Roman" w:hAnsi="Times New Roman"/>
          <w:b/>
          <w:bCs/>
          <w:color w:val="1D2129"/>
          <w:sz w:val="28"/>
          <w:szCs w:val="28"/>
          <w:shd w:val="clear" w:color="auto" w:fill="FFFFFF"/>
          <w:lang w:val="uk-UA"/>
        </w:rPr>
        <w:t>у</w:t>
      </w:r>
      <w:r>
        <w:rPr>
          <w:rFonts w:ascii="Times New Roman" w:hAnsi="Times New Roman"/>
          <w:b/>
          <w:bCs/>
          <w:color w:val="1D2129"/>
          <w:sz w:val="28"/>
          <w:szCs w:val="28"/>
          <w:shd w:val="clear" w:color="auto" w:fill="FFFFFF"/>
          <w:lang w:val="ru-RU"/>
        </w:rPr>
        <w:t xml:space="preserve"> сім'ї, дитинства, материнства і батьківства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»</w:t>
      </w:r>
    </w:p>
    <w:p w:rsidR="00A23F4C" w:rsidRDefault="00A23F4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23F4C" w:rsidRDefault="009D53D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1. Обґрунтування необхідності прийняття 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законопроекту</w:t>
      </w:r>
    </w:p>
    <w:p w:rsidR="00A23F4C" w:rsidRDefault="009D53D2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Керуючись Конституцією України та визнаними Україною міжнародними правовими документами, держава має зобов’язання перед інститутом сім’ї щодо її розвитку та захисту.</w:t>
      </w:r>
    </w:p>
    <w:p w:rsidR="00A23F4C" w:rsidRDefault="009D53D2">
      <w:pPr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Згідно з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статтею 51 Конституції України сім’я, дитинство, материнст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во і батьківство охороняються державою. Відповідно до статті 16 Загальної декларації прав людини сім’я є природним </w:t>
      </w:r>
      <w:r>
        <w:rPr>
          <w:rFonts w:ascii="Times New Roman" w:eastAsia="Calibri" w:hAnsi="Times New Roman" w:cs="Times New Roman"/>
          <w:sz w:val="28"/>
          <w:szCs w:val="28"/>
        </w:rPr>
        <w:t>i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основним осередком суспільства </w:t>
      </w:r>
      <w:r>
        <w:rPr>
          <w:rFonts w:ascii="Times New Roman" w:eastAsia="Calibri" w:hAnsi="Times New Roman" w:cs="Times New Roman"/>
          <w:sz w:val="28"/>
          <w:szCs w:val="28"/>
        </w:rPr>
        <w:t>i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має право на захист з боку суспільства та держави. У статті 23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Міжнародного пакту про громадянські та полі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тичні права зазначено, що сім’я є природним і основним осередком суспільства та має право на захист з боку суспільства і держави.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</w:p>
    <w:p w:rsidR="00A23F4C" w:rsidRDefault="009D53D2">
      <w:pPr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Згідно статті 29 Конвенції ООН про права дитини, яка прийнята резолюцією 44/25 Генеральної Асамблеї ООН від 20 листопада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1989 року та ратифікована Постановою Верховної Ради України № 789ХІІ від 27 лютого 1991 року, яка набула чинності для України 27 вересня 1991 року, в підпункті “с” пункту 1 зазначено, що держави-учасниці погоджуються щодо того, що освіта дитини має бути сп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рямована на виховання поваги до батьків дитини, її культурної самобутності, мови і національних цінностей країни, в якій дитина проживає.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</w:p>
    <w:p w:rsidR="00A23F4C" w:rsidRDefault="009D53D2">
      <w:pPr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Серед загроз сучасності викликає глибоку стурбованість зростаюча тенденція публічної пропаганди аморальних відхил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ень від конституційної норми сім’ї, зазначеної в статті 51 Конституції України, що унеможливлює виховання дітей в конституційному руслі, чим порушуються права дітей і їхніх батьків.</w:t>
      </w:r>
    </w:p>
    <w:p w:rsidR="00A23F4C" w:rsidRDefault="009D53D2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ЛГБТ-спільноти протягом багатьох років намагаються довести суспільств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у, що їхній спосіб життя є вродженим на відміну від зоофілії, некрофілії чи педофілії. Але під час наукових досліджень, результати якого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у 2019 році були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оприлюднені в журналі Science, були вивчені дані з Біобанку Великої Британії і американської біотех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нологічної компанії «23andMe», і виявлено, що гена, відповідального за гомосексуалізм, не існує. За словами Девіда Кьортіса, професора Інституту генетики Каліфорнійського університету,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«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це дослідження явно демонструє, що не існує такого поняття, як "ген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геїв"». Більше того, під час наукових досліджень великої репрезентативної вибірки </w:t>
      </w:r>
      <w:r>
        <w:rPr>
          <w:rFonts w:ascii="Times New Roman" w:eastAsia="Calibri" w:hAnsi="Times New Roman" w:cs="Times New Roman"/>
          <w:sz w:val="28"/>
          <w:szCs w:val="28"/>
        </w:rPr>
        <w:t>National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Longitudinal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Study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of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Adolescent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Health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було виявлено, що серед старшокласників, які мали сексуальний потяг виключно до осіб своєї статі, через рік 48% мали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сексуа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льний потяг виключно до осіб протилежної статі. Подібні результати фіксуються і у інших великих репрезентативних вибірках, досліджених іншими вченими. Це доводить, що у молодому віці людина може вилікуватись від гомосексуалізму навіть без цілеспрямованого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лікування. Більше того, наукові дані дають підстави зробити висновок, що гомосексуалізм є не вродженою вадою, а набутою внаслідок аморальної поведінки. </w:t>
      </w:r>
    </w:p>
    <w:p w:rsidR="00A23F4C" w:rsidRDefault="009D53D2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Пропаганда гомосексуалізму та трансгендеризму становить загрозу для здоров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’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 населення. Зокрема,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Центри з контролю і профілактики захворювань в США (</w:t>
      </w:r>
      <w:r>
        <w:rPr>
          <w:rFonts w:ascii="Times New Roman" w:eastAsia="Calibri" w:hAnsi="Times New Roman" w:cs="Times New Roman"/>
          <w:sz w:val="28"/>
          <w:szCs w:val="28"/>
          <w:lang w:val="en"/>
        </w:rPr>
        <w:t>Centers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en"/>
        </w:rPr>
        <w:t>for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en"/>
        </w:rPr>
        <w:t>Disease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en"/>
        </w:rPr>
        <w:t>Control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en"/>
        </w:rPr>
        <w:t>and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en"/>
        </w:rPr>
        <w:t>Prevention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) вказують, що чоловіки, що мають секс з чоловіками, мають у понад 44 рази більший ризик захворіти на ВІЛ та у понад 46 разів вищий ризик захворіти на сифіліс, ні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ж інші чоловіки. Застосування блокаторів пубертату, гормональної терапії та хірургічної операції зі «зміни статі» є незворотнім каліцтвом людини. Кількість звернень до єдиної у Великобританії гендерної клініки для неповнолітніх зросла у понад 35 разів за д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есять років. З’являється все більше людей, які усвідомлюють, що здійснення «трансгендерного переходу» було помилкою, і намагаються здійснити зворотній перехід. Все більше людей  подають до суду на клініки, які зруйнували їх життя за допомогою «трансгендерн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ого переходу». Зокрема, Кіра Белл (</w:t>
      </w:r>
      <w:r>
        <w:rPr>
          <w:rFonts w:ascii="Times New Roman" w:eastAsia="Calibri" w:hAnsi="Times New Roman" w:cs="Times New Roman"/>
          <w:sz w:val="28"/>
          <w:szCs w:val="28"/>
        </w:rPr>
        <w:t>Keira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Bell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) вже виграла таку судову справу.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У Швеції заборонили застосовувати блокатори пубертату на дітях до 16 років.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Зважаючи на вищевказане, Україні слід заборонити пропаганду гомосексуалізму та трансгендеризму з мето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ю захисту здоров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’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 населення. </w:t>
      </w:r>
    </w:p>
    <w:p w:rsidR="00A23F4C" w:rsidRDefault="009D53D2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Що насправді ховається за нав’язуваним Україні терміном “гендер”? Антисімейна гендерна ідеологія передбачає руйнування інституту сім’ї, як союзу чоловіка та жінки. Основною тезою гендерної ідеології є заперечення природн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их статей, натомість проголошується право обирати так званий "гендер". В результаті руйнується переконання, що хлопець є хлопцем, дівчина – дівчиною, а сім’я – це союз чоловіка і жінки.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Пропаганда гендерної ідеології вже почалася не лише у інформаційному п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росторі, але і в деяких школах в Україні. Зокрема, посібник для тренера «Репродуктивне здоров’я та відповідальна поведінка учнівської молоді», схвалений для використання у загальноосвітніх навчальних закладах за висновком комісії з основ здоров’я Науково-м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етодичної Ради з питань освіти Міністерства освіти і науки України (</w:t>
      </w:r>
      <w:r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Лист ДНУ «Інститут модернізації змісту освіти» від 19.12.2017 №21-1/12/Г-824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), передбачає навчати дітей, що гендер може відрізнятися від статі: «Ґендерна ідентичність може співпадати зі ст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аттю людини (визначеною при народженні) або може відрізнятися від неї».  Розроблений за участю Міністерства освіти і науки України комплект навчальних програм наскрізного інтегрованого курсу за вибором «Культура добросусідства» передбачає, що на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кінець 9 к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ласу учень повинен розуміти різницю між статтю і гендером. Гендерна ідеологія все частіше стає причиною грубого порушення прав батьків. Наприклад, дівчинку можуть переконати, що вона хлопчик, а батьку заборонити втручатися і зобов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’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язати звертатися до доньк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и, використовуючи чоловіче ім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’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я і займенники. Подібний випадок трапився з Робертом Хугландом (</w:t>
      </w:r>
      <w:r>
        <w:rPr>
          <w:rFonts w:ascii="Times New Roman" w:eastAsia="Calibri" w:hAnsi="Times New Roman" w:cs="Times New Roman"/>
          <w:sz w:val="28"/>
          <w:szCs w:val="28"/>
        </w:rPr>
        <w:t>Robert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Hoogland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), якого навіть заарештували за те, що він публічно виступав проти «трансгендерного переходу» своєї доньки та публічно говорив про свою доньку саме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як про доньку, а не як про сина. Такі абсурдні випадки можуть траплятися все частіше через те, що багато людей, в тому числі вчителі, лікарі і судді, тривалий час знаходяться під впливом пропаганди гомосексуалізму і трансгендеризму.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</w:p>
    <w:p w:rsidR="00A23F4C" w:rsidRDefault="009D53D2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Пропаганда гомос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ексуалізму призводить і до порушення права на свободу наукових досліджень. Всесвітньо відомого вченого Ульріха Кучеру (</w:t>
      </w:r>
      <w:r>
        <w:rPr>
          <w:rFonts w:ascii="Times New Roman" w:eastAsia="Calibri" w:hAnsi="Times New Roman" w:cs="Times New Roman"/>
          <w:sz w:val="28"/>
          <w:szCs w:val="28"/>
        </w:rPr>
        <w:t>Ulrich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Kutschera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) протягом майже двох років переслідували у судовому порядку за те, що він на підставі наукових даних вказував на безпосе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редній зв’язок між гомосексуалізмом і педофілією. Таким чином посилається потужний сигнал усім ученим: якщо результати ваших наукових досліджень будуть недостатньо політкоректними, то вас будуть переслідувати.</w:t>
      </w:r>
    </w:p>
    <w:p w:rsidR="00A23F4C" w:rsidRDefault="009D53D2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Пропаганда гомосексуалізму також призводи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ть до порушення права на свободу висловлювань та свободу віросповідання. Наприклад, студента Фелікса Нголе (</w:t>
      </w:r>
      <w:r>
        <w:rPr>
          <w:rFonts w:ascii="Times New Roman" w:eastAsia="Calibri" w:hAnsi="Times New Roman" w:cs="Times New Roman"/>
          <w:sz w:val="28"/>
          <w:szCs w:val="28"/>
        </w:rPr>
        <w:t>Felix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Ngole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) вигнали з університету за те, що він у коментарі у фейсбуці визнав, що, згідно з Біблією, гомосексуалізм є гріхом. Після цього студент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роками боровся у судах за право продовжити навчання. </w:t>
      </w:r>
    </w:p>
    <w:p w:rsidR="00A23F4C" w:rsidRDefault="009D53D2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Гендерну ідеологію все активніше впроваджують в законодавство та інші нормативно-правові акти. Наказ Міністерства соціальної політики №86 від 07.02.2020 містить таке означення терміну гендер: «генд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ер - соціально закріплені ролі, поведінка, діяльність і характерні ознаки, які певне суспільство вважає належними для жінок/чоловіків». В цьому ж наказі міститься і означення статі, яке явно відрізняється від означення «гендеру». Стамбульська конвенція в р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азі ратифікації затвердить це означення терміну «гендер» на законодавчому рівні. Більше того, Стамбульська конвенція прямо зобов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’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язує навчати учнів «нестереотипним гендерним ролям» (стаття 14). Тому використання терміну «гендер» в законодавстві чи інших но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рмативно-правових актах є дуже небепечним, адже використання терміну «гендер» буде витлумачено як визнання, що людина не народжується ні чоловіком, ні жінкою, а сама може вибирати собі стать. Незнанням людей справжньої суті, яка ховається за терміном «генд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ер», спритно користуються гендерні організації, які просувають гендерне законодавство через парламент України, наслідком цього стало ухвалення Верховною Радою України у 2005 році Закону України №2866-</w:t>
      </w:r>
      <w:r>
        <w:rPr>
          <w:rFonts w:ascii="Times New Roman" w:eastAsia="Calibri" w:hAnsi="Times New Roman" w:cs="Times New Roman"/>
          <w:sz w:val="28"/>
          <w:szCs w:val="28"/>
        </w:rPr>
        <w:t>IV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«Державна політика забезпечення рівних прав та можли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востей жінок і чоловіків спрямована на утвердження ґендерної рівності; недопущення дискримінації за ознакою статі». Таким чином, термін «гендер» увійшов у наше законодавство та поклав початок широкій пропаганді гендерної рівності, яка за суттю своєю є явно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ю чи прихованою пропагандою гомосексуалізму та трансгендеризму, що випливає з визначення терміну «гендер». Тому коли захисники гендеру говорять про гендерну рівність, насправді мають на увазі не рівність між двома біологічними статями – чоловіком та жінкою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, але ще й рівність між соціальними статями, яких, на думку ідеологів «гендеру», є багато.</w:t>
      </w:r>
    </w:p>
    <w:p w:rsidR="00A23F4C" w:rsidRDefault="009D53D2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Згідно розпорядження Кабінету міністрів України №598-р від 5 липня 2019 року, за бюджетні кошти для поповнення бібліотечних фондів було закуплено 1240 дитячих к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нижок «Принцеса + принцеса: довго і щасливо», що містять пропаганду гомосексуалізму. Це грубе порушення прав батьків, які категорично проти того, щоб їхнім дітям нав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’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язували неконституційні моделі шлюбу, та ще й за бюджетні кошти.</w:t>
      </w:r>
    </w:p>
    <w:p w:rsidR="00A23F4C" w:rsidRDefault="009D53D2">
      <w:pPr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Нерідко нав’язування пропаганди гомосексуалізму обгрунтовують тим, що гомосексуалізм був вилучений з переліку психічних розладів. Але вилученння відбулось не на підставі наукових даних, а під тиском і на основі ідеологічних причин. Зокрема, стаття «Іс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торія депатологізації гомосексуалізму», опублікована на офіційному сайті Асоціації сексологів і сексотерапевтів України, вказує на те, що виключення гомосексуалізму зі списку психічних розладів відбулося без проведення наукових досліджень, відбулося через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тиск (Стоунволльські бунти, зриви конференцій Асоціації психіатрів Америки, образи та погрози фізичної розправи) та базувалось на ідеологічних міркуваннях. Спроби обгрунтовувати цим нав’язування пропаганди гомосексуалізму є антиконституційними. Тому що згі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дно зі статтею 15 Конституції України, жодна ідеологія не може визнаватися державою як обов’язкова. 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</w:p>
    <w:p w:rsidR="00A23F4C" w:rsidRDefault="009D53D2">
      <w:pPr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В країнах заходу посилюється пропаганда педофілії. Зокрема, Хельмут Граупнер (</w:t>
      </w:r>
      <w:r>
        <w:rPr>
          <w:rFonts w:ascii="Times New Roman" w:eastAsia="Calibri" w:hAnsi="Times New Roman" w:cs="Times New Roman"/>
          <w:sz w:val="28"/>
          <w:szCs w:val="28"/>
        </w:rPr>
        <w:t>Helmut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Graupner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), відомий «захисник прав ЛГБТ», написав «наукову статтю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» («</w:t>
      </w:r>
      <w:r>
        <w:rPr>
          <w:rFonts w:ascii="Times New Roman" w:eastAsia="Calibri" w:hAnsi="Times New Roman" w:cs="Times New Roman"/>
          <w:sz w:val="28"/>
          <w:szCs w:val="28"/>
        </w:rPr>
        <w:t>Love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versus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abuse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>crossgenerational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sexual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relationships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of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minors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>a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gay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rights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issue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?»), в якій «доводить», що можливість дорослих гомосексуалістів за взаємною згодою мати сексуальні стосунки з дітьми, яким виповнилось 14 років, є «правами гомосексу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алістів». Більше того, він вважає, що в деяких випадках не потрібно карати гомосексуаліста, який «за взаємною згодою» мав сексуальні стосунки з дитиною молодше 14 років. Річард Грін (</w:t>
      </w:r>
      <w:r>
        <w:rPr>
          <w:rFonts w:ascii="Times New Roman" w:eastAsia="Calibri" w:hAnsi="Times New Roman" w:cs="Times New Roman"/>
          <w:sz w:val="28"/>
          <w:szCs w:val="28"/>
        </w:rPr>
        <w:t>Richard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Green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), вчений, який боровся за вилучення гомосексуалізму зі спис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ку психічних розладів, зараз намагається довести, що сексуальні стосунки з дітьми, які ще не досягли статевого дозрівання, не слід вважати психічним відхиленням. Для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цього він опублікував «наукову статтю»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</w:rPr>
        <w:t>Is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pedophilia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mental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disorder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), в якій наводить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маніпуляції, дуже схожі на ті, які використовувались для вилучення гомосексуалізму зі списку хвороб. У 2020 році відновила свою діяльність політична партія (Party for Neighbourly Love, Freedom, and Diversity), що має на меті спочатку зниження віку сексуал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ьної згоди до 12 років, а з часом – повне скасування віку сексуальної згоди. У 2020 році була опублікована «наукова стаття» «</w:t>
      </w:r>
      <w:r>
        <w:rPr>
          <w:rFonts w:ascii="Times New Roman" w:eastAsia="Calibri" w:hAnsi="Times New Roman" w:cs="Times New Roman"/>
          <w:sz w:val="28"/>
          <w:szCs w:val="28"/>
        </w:rPr>
        <w:t>Should Behavior Harmful to Others Be a Sufficient Criterion of Mental disorders? Conceptual Problems of the Diagnoses of Antisocial</w:t>
      </w:r>
      <w:r>
        <w:rPr>
          <w:rFonts w:ascii="Times New Roman" w:eastAsia="Calibri" w:hAnsi="Times New Roman" w:cs="Times New Roman"/>
          <w:sz w:val="28"/>
          <w:szCs w:val="28"/>
        </w:rPr>
        <w:t xml:space="preserve"> Personality disorder and Pedophilic Disorder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», в якій переконують вважати психічно хворим лише того педофіла, який засмучений або страждає через те, що є педофілом. Поки що переважна більшість населення країн заходу виступає проти нормалізації або легаліз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ації педофілії. Однак раніше така ж ситуація була і з гомосексуалізмом та трансгендеризмом, але суспільна думка з цього приводу сильно змінилась після кількох десятиліть пропаганди. Тому важливо не допустити початку пропаганди педофілії в Україні заради за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хисту фізичного і психічного здоров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’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я дітей, в інтересах національної безпеки та громадського порядку.</w:t>
      </w:r>
    </w:p>
    <w:p w:rsidR="00A23F4C" w:rsidRDefault="009D53D2">
      <w:pPr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Пропаганда 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педофілії,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гомосексуалізму та трансгендеризму, визначення яких детально описано в проекті Закону України «Про внесення змін до деяких за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конодавчих актів України охорони сім’ї, дитинства, материнства і батьківства», складає реальну загрозу національній безпеці України, оскільки призводить до епідемії ВІЛ/СНІД, незворотного каліцтва людей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(«трансгендерний перехід»), порушення права на свобод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у слова і віросповідання, порушення права на свободу наукових досліджень,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руйнації інституту сім'ї, демографічної кризи,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унеможливлює виховання дітей в конституційному руслі, чим порушуються права дітей та їхніх батьків. Тому пропаганда педофілії, гомосекс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уалізму та трансгендеризму є не менш небезпечною, ніж пропаганда комунізму і фашизму. Пропаганда комунізму і фашизму вже заборонені в Україні.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Запровадження адміністративної відповідальності за пропаганду педофілії, гомосексуалізму та трансгендеризму є важливим кроком, якого потребує українське суспільство.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</w:p>
    <w:p w:rsidR="00A23F4C" w:rsidRDefault="009D53D2">
      <w:pPr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У Законі України «Про захист суспільної моралі» є означення "суспільна мораль – система етичних норм, правил поведінки, що склалися у суспільстві на основі традиційних духовних і культурних цінностей, уявлень про добро, честь, гідність, громадський об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ов'язок, совість, справедливість." В статті 5 цього закону написано: "Змістом державної політики у сфері захисту суспільної моралі є створення необхідних правових, економічних та організаційних умов, які сприяють реалізації права на інформаційний простір,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вільний від матеріалів, що становлять загрозу фізичному, інтелектуальному, морально-психологічному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стану населення." Даний законопроект якраз є важливим кроком в тому, щоб сприяти "реалізації права на інформаційний простір, вільний від матеріалів, що стано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влять загрозу фізичному, інтелектуальному, морально-психологічному стану населення", адже цілком очевидно, що гомосексуалізм, трансгендеризм, педофілія руйнують суспільну мораль. І це стає ще більш зрозуміло не тільки з означення суспільної моралі, але і п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ісля ознайомлення з науковими даними про сотні інтимних партнерів у гомосексуалістів та про кількість "розлучень" серед гомосексуалістів там, де у них є право укладати "шлюб".</w:t>
      </w:r>
    </w:p>
    <w:p w:rsidR="00A23F4C" w:rsidRDefault="009D53D2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 Європі, як і в цілому світі загалом, немає єдиної позиції щодо інституту с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ім’ї, і позиція багатьох європейських країн щодо Стамбульської конвенції яскраво свідчить, що Європа не є одностайною в цих питаннях. Україна обрала європейський вектор розвитку, і по прикладу Литви та інших європейських захисників інституту сім’ї, повинна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послідовно реалізувати своє право на збереження національних цінностей своєї країни – розумінні сім’ї як законного союзу чоловіка та жінки, які народжують і виховують дітей.</w:t>
      </w:r>
    </w:p>
    <w:p w:rsidR="00A23F4C" w:rsidRDefault="009D53D2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Відповідно існує нагальна необхідність внесення змін до законодавства в інте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ресах національної безпеки – для охорони здоров’я населення, з метою захисту прав людей на свободу слова і віросповідання, захисту права батьків на виховання власних дітей, захисту свободи наукових досліджень та з метою забезпечення формування засад держав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ної сімейної політики – запровадження Національної стратегії охорони сім'ї, дитинства, материнства та батьківства на основі традиційних сімейних цінностей України – розумінні сім’ї як законного союзу чоловіка та жінки, які народжують і виховують дітей.</w:t>
      </w:r>
    </w:p>
    <w:p w:rsidR="00A23F4C" w:rsidRDefault="009D53D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2. 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Цілі і завдання законопроекту</w:t>
      </w:r>
    </w:p>
    <w:p w:rsidR="00A23F4C" w:rsidRDefault="009D53D2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Метою законопроекту є посилення охорони сім’ї, дитинства, материнства і батьківства на законодавчому рівні.</w:t>
      </w:r>
    </w:p>
    <w:p w:rsidR="00A23F4C" w:rsidRDefault="009D53D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3. Загальна характеристика та основні положення акту</w:t>
      </w:r>
    </w:p>
    <w:p w:rsidR="00A23F4C" w:rsidRDefault="009D53D2">
      <w:pPr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Законопроектом вносяться зміни до Законів України: “Про д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руковані засоби масової інформації (пресу) в Україні", "Про телебачення і радіомовлення", "Про кінематографію", "Про фізичну культуру і спорт", "Про видавничу справу", "Про захист суспільної моралі", "Про забезпечення рівних прав та можливостей жінок і чол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овіків", "Про освіту", "Про наукову і науково-технічну діяльність", “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Про охорону дитинства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”, якими передбачено:</w:t>
      </w:r>
    </w:p>
    <w:p w:rsidR="00A23F4C" w:rsidRDefault="009D53D2">
      <w:pPr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- заміна (вилучення) термінів "сексуальна орієнтація", "ґендерна ідентичність", "ґендерна рівність" та "ґендерно-правова експертиза", а також по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дібних, як таких, що несуть виключно ідеологічне та антинаукове навантаження у законодавчих актах України, на відповідні терміни "рівність прав та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можливостей жінок і чоловіків", "правова експертиза забезпечення рівності прав та можливостей жінок і чоловік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ів", "культури забезпечення рівності прав та можливостей жінок і чоловіків" відповідно.</w:t>
      </w:r>
    </w:p>
    <w:p w:rsidR="00A23F4C" w:rsidRDefault="009D53D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4. Стан нормативно-правової бази у даній сфері правового регулювання</w:t>
      </w:r>
    </w:p>
    <w:p w:rsidR="00A23F4C" w:rsidRDefault="009D53D2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цій сфері діють такі законодавчі акти України та міжнародні договори:</w:t>
      </w:r>
    </w:p>
    <w:p w:rsidR="00A23F4C" w:rsidRDefault="009D53D2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- Конституція України;</w:t>
      </w:r>
    </w:p>
    <w:p w:rsidR="00A23F4C" w:rsidRDefault="009D53D2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- Конвенція ООН про права дитини;</w:t>
      </w:r>
    </w:p>
    <w:p w:rsidR="00A23F4C" w:rsidRDefault="009D53D2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- Закони України "Про друковані засоби масової інформації (пресу) в Україні", "Про телебачення і радіомовлення", “Про кінематографію”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"Про фізичну культуру і спорт", "Про видавничу справу", "Про захист суспільної моралі",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"Про забезпечення рівних прав та можливостей жінок і чоловіків", "Про телекомунікації”, "Про наукову і науково-технічну діяльність", “Про освіту”, “Про вищу освіту”, “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Про охорону дитинства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”.</w:t>
      </w:r>
    </w:p>
    <w:p w:rsidR="00A23F4C" w:rsidRDefault="009D53D2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Реалізація законопроекту не потребує внесення змін до інших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законодавчих актів.</w:t>
      </w:r>
    </w:p>
    <w:p w:rsidR="00A23F4C" w:rsidRDefault="009D53D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5. Фінансово</w:t>
      </w:r>
      <w:r w:rsidRPr="00E57724">
        <w:rPr>
          <w:rFonts w:ascii="Times New Roman" w:eastAsia="Calibri" w:hAnsi="Times New Roman" w:cs="Times New Roman"/>
          <w:b/>
          <w:sz w:val="28"/>
          <w:szCs w:val="28"/>
          <w:lang w:val="ru-RU"/>
        </w:rPr>
        <w:t>-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економічне обґрунтування</w:t>
      </w:r>
    </w:p>
    <w:p w:rsidR="00A23F4C" w:rsidRDefault="009D53D2">
      <w:pPr>
        <w:ind w:firstLine="280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Прийняття закону не потребує додаткових видатків з Державного бюджету України або місцевих бюджетів.</w:t>
      </w:r>
    </w:p>
    <w:p w:rsidR="00A23F4C" w:rsidRDefault="00A23F4C">
      <w:pPr>
        <w:ind w:firstLine="280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A23F4C" w:rsidRDefault="009D53D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6. Обґрунтування очікуваних соціально-економічних наслідків прийняття законопроекту</w:t>
      </w:r>
    </w:p>
    <w:p w:rsidR="00A23F4C" w:rsidRDefault="009D53D2">
      <w:pPr>
        <w:ind w:firstLine="280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Прийняття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законопроекту сприятиме забезпеченню виконання статті 51 Конституції України щодо охорони державою сім’ї, дитинства, материнства і батьківства.</w:t>
      </w:r>
    </w:p>
    <w:p w:rsidR="00A23F4C" w:rsidRDefault="00A23F4C">
      <w:pPr>
        <w:ind w:firstLine="280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A23F4C" w:rsidRDefault="009D53D2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Народний депутат України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Мазурашу Г. Г.</w:t>
      </w:r>
    </w:p>
    <w:p w:rsidR="00A23F4C" w:rsidRDefault="00A23F4C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A23F4C">
      <w:pgSz w:w="12240" w:h="15840"/>
      <w:pgMar w:top="914" w:right="850" w:bottom="84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3D2" w:rsidRDefault="009D53D2">
      <w:pPr>
        <w:spacing w:line="240" w:lineRule="auto"/>
      </w:pPr>
      <w:r>
        <w:separator/>
      </w:r>
    </w:p>
  </w:endnote>
  <w:endnote w:type="continuationSeparator" w:id="0">
    <w:p w:rsidR="009D53D2" w:rsidRDefault="009D53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default"/>
    <w:sig w:usb0="E10022FF" w:usb1="C000E47F" w:usb2="00000029" w:usb3="00000000" w:csb0="200001DF" w:csb1="2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3D2" w:rsidRDefault="009D53D2">
      <w:pPr>
        <w:spacing w:after="0" w:line="240" w:lineRule="auto"/>
      </w:pPr>
      <w:r>
        <w:separator/>
      </w:r>
    </w:p>
  </w:footnote>
  <w:footnote w:type="continuationSeparator" w:id="0">
    <w:p w:rsidR="009D53D2" w:rsidRDefault="009D53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3FA"/>
    <w:rsid w:val="000C4349"/>
    <w:rsid w:val="00132D00"/>
    <w:rsid w:val="001B48A3"/>
    <w:rsid w:val="002A4627"/>
    <w:rsid w:val="0031239E"/>
    <w:rsid w:val="00481220"/>
    <w:rsid w:val="006B4CA4"/>
    <w:rsid w:val="006D5AFE"/>
    <w:rsid w:val="00846133"/>
    <w:rsid w:val="00894CB1"/>
    <w:rsid w:val="009213FA"/>
    <w:rsid w:val="009545A6"/>
    <w:rsid w:val="00961582"/>
    <w:rsid w:val="0096700B"/>
    <w:rsid w:val="0097701C"/>
    <w:rsid w:val="009C2067"/>
    <w:rsid w:val="009D03BB"/>
    <w:rsid w:val="009D39EB"/>
    <w:rsid w:val="009D53D2"/>
    <w:rsid w:val="009F03E8"/>
    <w:rsid w:val="00A23F4C"/>
    <w:rsid w:val="00A6193A"/>
    <w:rsid w:val="00AD5DA1"/>
    <w:rsid w:val="00B62A2D"/>
    <w:rsid w:val="00B87F99"/>
    <w:rsid w:val="00B93B63"/>
    <w:rsid w:val="00CD393E"/>
    <w:rsid w:val="00E57724"/>
    <w:rsid w:val="00F8002D"/>
    <w:rsid w:val="00F808F9"/>
    <w:rsid w:val="00F836AF"/>
    <w:rsid w:val="2B8621CD"/>
    <w:rsid w:val="43CF3B83"/>
    <w:rsid w:val="519E176F"/>
    <w:rsid w:val="5E7F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6C7909-FF2E-4C32-908D-A9BC5E20F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F35070-8281-4647-A4B5-AC1EAF86AE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7ADF2CBB-B874-4A34-BF19-A0321D3EF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EA81DE-4386-4B3F-870D-A89F0ECE687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11255</Words>
  <Characters>6416</Characters>
  <Application>Microsoft Office Word</Application>
  <DocSecurity>0</DocSecurity>
  <Lines>53</Lines>
  <Paragraphs>35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2021-11-19T09:46:00Z</dcterms:created>
  <dcterms:modified xsi:type="dcterms:W3CDTF">2021-11-19T09:46:00Z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  <property fmtid="{D5CDD505-2E9C-101B-9397-08002B2CF9AE}" pid="3" name="KSOProductBuildVer">
    <vt:lpwstr>1049-11.2.0.10130</vt:lpwstr>
  </property>
</Properties>
</file>