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043743" w14:textId="680FD001" w:rsidR="00AB6C36" w:rsidRPr="00AB6C36" w:rsidRDefault="00AB6C36" w:rsidP="004233C0">
      <w:pPr>
        <w:spacing w:line="360" w:lineRule="auto"/>
        <w:jc w:val="center"/>
        <w:rPr>
          <w:color w:val="000000"/>
          <w:sz w:val="28"/>
          <w:szCs w:val="28"/>
          <w:lang w:val="uk-UA" w:eastAsia="uk-UA"/>
        </w:rPr>
      </w:pPr>
      <w:bookmarkStart w:id="0" w:name="_GoBack"/>
      <w:bookmarkEnd w:id="0"/>
      <w:r w:rsidRPr="004F0470">
        <w:rPr>
          <w:b/>
          <w:bCs/>
          <w:color w:val="000000"/>
          <w:sz w:val="28"/>
          <w:szCs w:val="28"/>
          <w:lang w:val="uk-UA" w:eastAsia="uk-UA"/>
        </w:rPr>
        <w:t>ПОЯСНЮВАЛЬНА ЗАПИСКА</w:t>
      </w:r>
    </w:p>
    <w:p w14:paraId="318246ED" w14:textId="67ED1C65" w:rsidR="00AB6C36" w:rsidRPr="00BB2D7C" w:rsidRDefault="00AB6C36" w:rsidP="00AB6C36">
      <w:pPr>
        <w:jc w:val="center"/>
        <w:rPr>
          <w:b/>
          <w:sz w:val="28"/>
          <w:szCs w:val="28"/>
          <w:lang w:val="uk-UA"/>
        </w:rPr>
      </w:pPr>
      <w:r w:rsidRPr="00BB2D7C">
        <w:rPr>
          <w:b/>
          <w:sz w:val="28"/>
          <w:szCs w:val="28"/>
          <w:lang w:val="uk-UA"/>
        </w:rPr>
        <w:t>до про</w:t>
      </w:r>
      <w:r w:rsidR="00BB2D7C" w:rsidRPr="00BB2D7C">
        <w:rPr>
          <w:b/>
          <w:sz w:val="28"/>
          <w:szCs w:val="28"/>
          <w:lang w:val="uk-UA"/>
        </w:rPr>
        <w:t>е</w:t>
      </w:r>
      <w:r w:rsidRPr="00BB2D7C">
        <w:rPr>
          <w:b/>
          <w:sz w:val="28"/>
          <w:szCs w:val="28"/>
          <w:lang w:val="uk-UA"/>
        </w:rPr>
        <w:t>кту Закону України «Про внесення змін до статті 394 Кримінального процесуального кодексу України щодо суб’єктів оскарження вироку на підставі угоди між прокурором та підозрюваним, обвинуваченим про визнання винуватості»</w:t>
      </w:r>
    </w:p>
    <w:p w14:paraId="4A1763EE" w14:textId="77777777" w:rsidR="00AB6C36" w:rsidRPr="00BB2D7C" w:rsidRDefault="00AB6C36" w:rsidP="00AB6C36">
      <w:pPr>
        <w:spacing w:line="360" w:lineRule="auto"/>
        <w:rPr>
          <w:color w:val="000000"/>
          <w:sz w:val="28"/>
          <w:szCs w:val="28"/>
          <w:lang w:val="uk-UA" w:eastAsia="uk-UA"/>
        </w:rPr>
      </w:pPr>
    </w:p>
    <w:p w14:paraId="7E618F61" w14:textId="77777777" w:rsidR="00AB6C36" w:rsidRPr="0002551C" w:rsidRDefault="00AB6C36" w:rsidP="00AB6C36">
      <w:pPr>
        <w:spacing w:after="120"/>
        <w:ind w:firstLine="709"/>
        <w:jc w:val="both"/>
        <w:rPr>
          <w:b/>
          <w:bCs/>
          <w:sz w:val="28"/>
          <w:szCs w:val="28"/>
          <w:lang w:val="uk-UA" w:eastAsia="ru-RU"/>
        </w:rPr>
      </w:pPr>
      <w:r w:rsidRPr="0002551C">
        <w:rPr>
          <w:b/>
          <w:bCs/>
          <w:sz w:val="28"/>
          <w:szCs w:val="28"/>
          <w:lang w:val="uk-UA" w:eastAsia="ru-RU"/>
        </w:rPr>
        <w:t>1. Обґрунтування необхідності прийняття Закону</w:t>
      </w:r>
    </w:p>
    <w:p w14:paraId="7FC667FB" w14:textId="41AB9A9E" w:rsidR="00AB6C36" w:rsidRPr="0002551C" w:rsidRDefault="00AB6C36" w:rsidP="00AB6C36">
      <w:pPr>
        <w:spacing w:after="120"/>
        <w:ind w:firstLine="708"/>
        <w:jc w:val="both"/>
        <w:rPr>
          <w:sz w:val="28"/>
          <w:szCs w:val="28"/>
          <w:lang w:val="uk-UA"/>
        </w:rPr>
      </w:pPr>
      <w:r w:rsidRPr="0002551C">
        <w:rPr>
          <w:sz w:val="28"/>
          <w:szCs w:val="28"/>
          <w:lang w:val="uk-UA"/>
        </w:rPr>
        <w:t>Необхідність прийняття законопроекту полягає в тому, що деякі положення Кримінально процесуального кодексу України не відповідають положенням Конституції України та іншим нормативно-правовим актам України, що на практиці призводить до неможливості використання гарантій передбачених Конституцією України та звужує права на оскарження прийнятих рішень суб’єктами, які не мають права захистити свої права, свободи та інтереси в наслідок ухвалення рішення.</w:t>
      </w:r>
    </w:p>
    <w:p w14:paraId="6F577A95" w14:textId="3A2E9FA5" w:rsidR="004233C0" w:rsidRPr="0002551C" w:rsidRDefault="004233C0" w:rsidP="00AB6C36">
      <w:pPr>
        <w:spacing w:after="120"/>
        <w:ind w:firstLine="708"/>
        <w:jc w:val="both"/>
        <w:rPr>
          <w:sz w:val="28"/>
          <w:szCs w:val="28"/>
          <w:lang w:val="uk-UA"/>
        </w:rPr>
      </w:pPr>
      <w:r w:rsidRPr="0002551C">
        <w:rPr>
          <w:sz w:val="28"/>
          <w:szCs w:val="28"/>
          <w:lang w:val="uk-UA"/>
        </w:rPr>
        <w:t xml:space="preserve">На сьогоднішній день існує ситуація коли вироком суду, яким затверджується угода між прокурором та підозрюваним, обвинуваченим про визнання винуватості презюмується вина особи, яка не є учасником цього судового процесу в якому судом ухвалюється такий вирок. </w:t>
      </w:r>
    </w:p>
    <w:p w14:paraId="29AF580E" w14:textId="1305C7F2" w:rsidR="004233C0" w:rsidRPr="0002551C" w:rsidRDefault="004233C0" w:rsidP="00AB6C36">
      <w:pPr>
        <w:spacing w:after="120"/>
        <w:ind w:firstLine="708"/>
        <w:jc w:val="both"/>
        <w:rPr>
          <w:sz w:val="28"/>
          <w:szCs w:val="28"/>
          <w:lang w:val="uk-UA"/>
        </w:rPr>
      </w:pPr>
      <w:r w:rsidRPr="0002551C">
        <w:rPr>
          <w:sz w:val="28"/>
          <w:szCs w:val="28"/>
          <w:lang w:val="uk-UA"/>
        </w:rPr>
        <w:t>В таких ситуація дуже часто встановлюється пр</w:t>
      </w:r>
      <w:r w:rsidR="00EB0020" w:rsidRPr="0002551C">
        <w:rPr>
          <w:sz w:val="28"/>
          <w:szCs w:val="28"/>
          <w:lang w:val="uk-UA"/>
        </w:rPr>
        <w:t>е</w:t>
      </w:r>
      <w:r w:rsidRPr="0002551C">
        <w:rPr>
          <w:sz w:val="28"/>
          <w:szCs w:val="28"/>
          <w:lang w:val="uk-UA"/>
        </w:rPr>
        <w:t xml:space="preserve">юдиція вини третьої особи в такому рішенні, яка </w:t>
      </w:r>
      <w:r w:rsidR="00EB0020" w:rsidRPr="0002551C">
        <w:rPr>
          <w:sz w:val="28"/>
          <w:szCs w:val="28"/>
          <w:lang w:val="uk-UA"/>
        </w:rPr>
        <w:t>встановлюється</w:t>
      </w:r>
      <w:r w:rsidRPr="0002551C">
        <w:rPr>
          <w:sz w:val="28"/>
          <w:szCs w:val="28"/>
          <w:lang w:val="uk-UA"/>
        </w:rPr>
        <w:t xml:space="preserve"> лише </w:t>
      </w:r>
      <w:r w:rsidR="00EB0020" w:rsidRPr="0002551C">
        <w:rPr>
          <w:sz w:val="28"/>
          <w:szCs w:val="28"/>
          <w:lang w:val="uk-UA"/>
        </w:rPr>
        <w:t>на підставі</w:t>
      </w:r>
      <w:r w:rsidRPr="0002551C">
        <w:rPr>
          <w:sz w:val="28"/>
          <w:szCs w:val="28"/>
          <w:lang w:val="uk-UA"/>
        </w:rPr>
        <w:t xml:space="preserve"> слів підозрюваного або обвинуваченого, яка уклала угоду з прокурором про визнання винуватості і більше ніякими доказами не встановлюється вина цієї третьої особи.</w:t>
      </w:r>
    </w:p>
    <w:p w14:paraId="765BE5E1" w14:textId="635F863E" w:rsidR="004233C0" w:rsidRPr="0002551C" w:rsidRDefault="004233C0" w:rsidP="00AB6C36">
      <w:pPr>
        <w:spacing w:after="120"/>
        <w:ind w:firstLine="708"/>
        <w:jc w:val="both"/>
        <w:rPr>
          <w:sz w:val="28"/>
          <w:szCs w:val="28"/>
          <w:lang w:val="uk-UA"/>
        </w:rPr>
      </w:pPr>
      <w:r w:rsidRPr="0002551C">
        <w:rPr>
          <w:sz w:val="28"/>
          <w:szCs w:val="28"/>
          <w:lang w:val="uk-UA"/>
        </w:rPr>
        <w:t>Судова практика не є сталою з цього питання і має декілька напрямів розв’язання цієї проблеми: по-перше, деякі судді вважа</w:t>
      </w:r>
      <w:r w:rsidR="00EB0020" w:rsidRPr="0002551C">
        <w:rPr>
          <w:sz w:val="28"/>
          <w:szCs w:val="28"/>
          <w:lang w:val="uk-UA"/>
        </w:rPr>
        <w:t>ють</w:t>
      </w:r>
      <w:r w:rsidRPr="0002551C">
        <w:rPr>
          <w:sz w:val="28"/>
          <w:szCs w:val="28"/>
          <w:lang w:val="uk-UA"/>
        </w:rPr>
        <w:t>, що можливе оскарження в апеляційному порядку таких вироків третіми особами посилаючись на статті Конституції України; по-друге, деякі судді підходили до цього питання чисто формально звертаючись до Кримінального процесуального кодексу України, де визначено суб’єктів, які мають право на апеляційне оскарження вироків.</w:t>
      </w:r>
    </w:p>
    <w:p w14:paraId="55606824" w14:textId="019336B9" w:rsidR="00002ADC" w:rsidRPr="0002551C" w:rsidRDefault="00002ADC" w:rsidP="00AB6C36">
      <w:pPr>
        <w:spacing w:after="120"/>
        <w:ind w:firstLine="708"/>
        <w:jc w:val="both"/>
        <w:rPr>
          <w:sz w:val="28"/>
          <w:szCs w:val="28"/>
          <w:lang w:val="uk-UA"/>
        </w:rPr>
      </w:pPr>
      <w:r w:rsidRPr="0002551C">
        <w:rPr>
          <w:sz w:val="28"/>
          <w:szCs w:val="28"/>
          <w:lang w:val="uk-UA"/>
        </w:rPr>
        <w:t>З метою нормативно-правового врегулювання цієї прогалини та надання судовій владі можливості в повному об’ємі здійснювати правосуддя, а особам в повному об’ємі захищати свої порушенні права, інтереси та свободи пропонується наступні законодавчі зміни, які полягають у розширенні суб’єктного складу щодо можливості оскарження судових вироків в кримінальному процесі в апеляційному порядку особами права, свободи та інтереси яких були порушенні під час ухвалення вироку на підставі угоди між прокурором та підозрюваним, обвинуваченим про визнання винуватості і при цьому ці особи не були учасниками судового процесу.</w:t>
      </w:r>
    </w:p>
    <w:p w14:paraId="5D1ECC64" w14:textId="1DFAFFD7" w:rsidR="00AB6C36" w:rsidRPr="0002551C" w:rsidRDefault="00AB6C36" w:rsidP="00AB6C36">
      <w:pPr>
        <w:spacing w:after="120"/>
        <w:ind w:firstLine="708"/>
        <w:jc w:val="both"/>
        <w:rPr>
          <w:sz w:val="28"/>
          <w:szCs w:val="28"/>
          <w:lang w:val="uk-UA"/>
        </w:rPr>
      </w:pPr>
      <w:r w:rsidRPr="0002551C">
        <w:rPr>
          <w:sz w:val="28"/>
          <w:szCs w:val="28"/>
          <w:lang w:val="uk-UA"/>
        </w:rPr>
        <w:t xml:space="preserve">Статтею 394 Кримінального процесуального кодексу України не врегульовано питання оскарження вироку на підставі угоди, якщо ним порушуються права іншої особи, яка не є учасником даного кримінального </w:t>
      </w:r>
      <w:r w:rsidRPr="0002551C">
        <w:rPr>
          <w:sz w:val="28"/>
          <w:szCs w:val="28"/>
          <w:lang w:val="uk-UA"/>
        </w:rPr>
        <w:lastRenderedPageBreak/>
        <w:t>провадження, а тому суд, вирішуючи питання захисту порушених прав такої особи, повинен звертатися до загальних норм кримінального процесуального закону.</w:t>
      </w:r>
    </w:p>
    <w:p w14:paraId="4135A3C0" w14:textId="115D4FE5" w:rsidR="00AB6C36" w:rsidRPr="0002551C" w:rsidRDefault="00AB6C36" w:rsidP="00AB6C36">
      <w:pPr>
        <w:spacing w:after="120"/>
        <w:ind w:firstLine="708"/>
        <w:jc w:val="both"/>
        <w:rPr>
          <w:sz w:val="28"/>
          <w:szCs w:val="28"/>
          <w:lang w:val="uk-UA"/>
        </w:rPr>
      </w:pPr>
      <w:r w:rsidRPr="0002551C">
        <w:rPr>
          <w:sz w:val="28"/>
          <w:szCs w:val="28"/>
          <w:lang w:val="uk-UA"/>
        </w:rPr>
        <w:t xml:space="preserve">Відповідно до частини 6 статті 9 Кримінального </w:t>
      </w:r>
      <w:r w:rsidR="00130EE3" w:rsidRPr="0002551C">
        <w:rPr>
          <w:sz w:val="28"/>
          <w:szCs w:val="28"/>
          <w:lang w:val="uk-UA"/>
        </w:rPr>
        <w:t>процесуального кодексу України у випадках, коли положення цього кодексу не регулюють або неоднозначно регулюють питання кримінального провадження, застосовуються загальні засади кримінального провадження, визначені частиною першою статті 7 цього кодексу.</w:t>
      </w:r>
    </w:p>
    <w:p w14:paraId="43CEBEA3" w14:textId="300F0957" w:rsidR="00130EE3" w:rsidRPr="0002551C" w:rsidRDefault="00130EE3" w:rsidP="00AB6C36">
      <w:pPr>
        <w:spacing w:after="120"/>
        <w:ind w:firstLine="708"/>
        <w:jc w:val="both"/>
        <w:rPr>
          <w:sz w:val="28"/>
          <w:szCs w:val="28"/>
          <w:lang w:val="uk-UA"/>
        </w:rPr>
      </w:pPr>
      <w:r w:rsidRPr="0002551C">
        <w:rPr>
          <w:sz w:val="28"/>
          <w:szCs w:val="28"/>
          <w:lang w:val="uk-UA"/>
        </w:rPr>
        <w:t>У статті 7 Кримінального процесуального кодексу України передбачені загальні засади кримінального провадження, до яких відносяться верховенство права, законність, рівність перед законом і судом, презумпція невинуватості та забезпечення доведеності вини, забезпечення права на захист, змагальність сторін та свободи в поданні ними суду своїх доказів і у доведенні перед судом їх переконливості, забезпечення права на оскарження процесуальних рішень, дій чи бездіяльності.</w:t>
      </w:r>
    </w:p>
    <w:p w14:paraId="4BE61377" w14:textId="158F0166" w:rsidR="00130EE3" w:rsidRPr="0002551C" w:rsidRDefault="00130EE3" w:rsidP="00AB6C36">
      <w:pPr>
        <w:spacing w:after="120"/>
        <w:ind w:firstLine="708"/>
        <w:jc w:val="both"/>
        <w:rPr>
          <w:sz w:val="28"/>
          <w:szCs w:val="28"/>
          <w:lang w:val="uk-UA"/>
        </w:rPr>
      </w:pPr>
      <w:r w:rsidRPr="0002551C">
        <w:rPr>
          <w:sz w:val="28"/>
          <w:szCs w:val="28"/>
          <w:lang w:val="uk-UA"/>
        </w:rPr>
        <w:t>Верховний Суд України у Постанові від 03.03.2016 року у справі № 5-347кс15 зазначив, що Конституція, яка має найвищу юридичну силу, гарантує реалізацію права на оскарження у більш широкому розумінні, ніж у Главі 31 Кримінального процесуального кодексу України, кореспондується із положеннями статі 24 Кримінального процесуального кодексу України й розширює коло учасників судового процесу, яким забезпечується конституційне право на оскарження судових рішень.</w:t>
      </w:r>
    </w:p>
    <w:p w14:paraId="2A35672B" w14:textId="13AC6D67" w:rsidR="00130EE3" w:rsidRPr="0002551C" w:rsidRDefault="00130EE3" w:rsidP="00AB6C36">
      <w:pPr>
        <w:spacing w:after="120"/>
        <w:ind w:firstLine="708"/>
        <w:jc w:val="both"/>
        <w:rPr>
          <w:sz w:val="28"/>
          <w:szCs w:val="28"/>
          <w:lang w:val="uk-UA"/>
        </w:rPr>
      </w:pPr>
      <w:r w:rsidRPr="0002551C">
        <w:rPr>
          <w:sz w:val="28"/>
          <w:szCs w:val="28"/>
          <w:lang w:val="uk-UA"/>
        </w:rPr>
        <w:t>Відповідно до частини 2 статті 24 Кримінального процесуального кодексу України кожному гарантується право на оскарження процесуальних рішень, дій чи бездіяльності суду, слідчого судді, прокурора, слідчого в порядку, передбаченому цим кодексом.</w:t>
      </w:r>
    </w:p>
    <w:p w14:paraId="66C33C5F" w14:textId="15E82FCE" w:rsidR="00216EF2" w:rsidRPr="0002551C" w:rsidRDefault="00130EE3" w:rsidP="00216EF2">
      <w:pPr>
        <w:spacing w:after="120"/>
        <w:ind w:firstLine="708"/>
        <w:jc w:val="both"/>
        <w:rPr>
          <w:sz w:val="28"/>
          <w:szCs w:val="28"/>
          <w:lang w:val="uk-UA"/>
        </w:rPr>
      </w:pPr>
      <w:r w:rsidRPr="0002551C">
        <w:rPr>
          <w:sz w:val="28"/>
          <w:szCs w:val="28"/>
          <w:lang w:val="uk-UA"/>
        </w:rPr>
        <w:t xml:space="preserve">Також гарантується право на перегляд вироку, ухвали суду, що стосується прав, свобод чи інтересів </w:t>
      </w:r>
      <w:r w:rsidR="00216EF2" w:rsidRPr="0002551C">
        <w:rPr>
          <w:sz w:val="28"/>
          <w:szCs w:val="28"/>
          <w:lang w:val="uk-UA"/>
        </w:rPr>
        <w:t>особи, судом вищого рівня в порядку, передбаченому цим кодексом, незалежно від того, чи брала така особа участь у судовому розгляді.</w:t>
      </w:r>
    </w:p>
    <w:p w14:paraId="077EACE2" w14:textId="62F18A3A" w:rsidR="00216EF2" w:rsidRPr="0002551C" w:rsidRDefault="00216EF2" w:rsidP="00216EF2">
      <w:pPr>
        <w:spacing w:after="120"/>
        <w:ind w:firstLine="708"/>
        <w:jc w:val="both"/>
        <w:rPr>
          <w:sz w:val="28"/>
          <w:szCs w:val="28"/>
          <w:lang w:val="uk-UA"/>
        </w:rPr>
      </w:pPr>
      <w:r w:rsidRPr="0002551C">
        <w:rPr>
          <w:sz w:val="28"/>
          <w:szCs w:val="28"/>
          <w:lang w:val="uk-UA"/>
        </w:rPr>
        <w:t>Згідно з частиною 1 статті 55, пункту 8 частини 2 статті 129 Конституції України та офіційного тлумачення відповідних правових норм, наведеного в рішенні Конституційного Суду від 25.04.2012 року у справі № 11-рп/2012, право на оскарження судових рішень у судах апеляційної та касаційної інстанцій є складовою конституційного права особи на судовий захист. Воно гарантується визначеними Конституцією України основними засадами, які ж обов’язковими для всіх форм судочинства та судових інстанцій. Однією з таких засад є забезпечення апеляційного та касаційного оскарження рішення суду.</w:t>
      </w:r>
    </w:p>
    <w:p w14:paraId="6CF7AFA7" w14:textId="04A3950F" w:rsidR="0010218D" w:rsidRPr="0002551C" w:rsidRDefault="0010218D" w:rsidP="0010218D">
      <w:pPr>
        <w:spacing w:after="120"/>
        <w:ind w:firstLine="708"/>
        <w:jc w:val="both"/>
        <w:rPr>
          <w:sz w:val="28"/>
          <w:szCs w:val="28"/>
          <w:lang w:val="uk-UA"/>
        </w:rPr>
      </w:pPr>
      <w:r w:rsidRPr="0002551C">
        <w:rPr>
          <w:sz w:val="28"/>
          <w:szCs w:val="28"/>
          <w:lang w:val="uk-UA"/>
        </w:rPr>
        <w:t xml:space="preserve">Також необхідно зазначити, що в частині 5 статті 82 Цивільного процесуального кодексу України встановлено, що обставини, встановлені стосовно певної особи рішенням суду у господарській, цивільній або </w:t>
      </w:r>
      <w:r w:rsidRPr="0002551C">
        <w:rPr>
          <w:sz w:val="28"/>
          <w:szCs w:val="28"/>
          <w:lang w:val="uk-UA"/>
        </w:rPr>
        <w:lastRenderedPageBreak/>
        <w:t>адміністративній справі, що набрало законної сили, не доказуються при розгляді іншої справи, проте можуть бути у загальному порядку спростовані особою, яка не брала участі у справі, в якій такі обставини були встановлені.</w:t>
      </w:r>
    </w:p>
    <w:p w14:paraId="4BD1E547" w14:textId="285E6230" w:rsidR="0010218D" w:rsidRPr="0002551C" w:rsidRDefault="0010218D" w:rsidP="0010218D">
      <w:pPr>
        <w:spacing w:after="120"/>
        <w:ind w:firstLine="708"/>
        <w:jc w:val="both"/>
        <w:rPr>
          <w:sz w:val="28"/>
          <w:szCs w:val="28"/>
          <w:lang w:val="uk-UA"/>
        </w:rPr>
      </w:pPr>
      <w:r w:rsidRPr="0002551C">
        <w:rPr>
          <w:sz w:val="28"/>
          <w:szCs w:val="28"/>
          <w:lang w:val="uk-UA"/>
        </w:rPr>
        <w:t>Отже, можна дійти висновку, що даний механізм існує в господарському, цивільному та адміністративному процесі, а в кримінальному процесі він відсутній, що породжує порушення прав, свобод та інтересів осіб та не відповідає вимогам Конституції України.</w:t>
      </w:r>
    </w:p>
    <w:p w14:paraId="5A5BA3F2" w14:textId="43DFEED2" w:rsidR="00216EF2" w:rsidRPr="0002551C" w:rsidRDefault="00216EF2" w:rsidP="00216EF2">
      <w:pPr>
        <w:spacing w:after="120"/>
        <w:ind w:firstLine="708"/>
        <w:jc w:val="both"/>
        <w:rPr>
          <w:sz w:val="28"/>
          <w:szCs w:val="28"/>
          <w:lang w:val="uk-UA"/>
        </w:rPr>
      </w:pPr>
      <w:r w:rsidRPr="0002551C">
        <w:rPr>
          <w:sz w:val="28"/>
          <w:szCs w:val="28"/>
          <w:lang w:val="uk-UA"/>
        </w:rPr>
        <w:t>Роблячи висновок з вищенаведеного, перегляд судових рішень судом вищого рівня гарантує відновлення порушених прав і охоронюваних законом інтересів людини та громадянина, що в обов’язковому порядку повинно бути передбачено в чинному законодавстві.</w:t>
      </w:r>
    </w:p>
    <w:p w14:paraId="779EC27F" w14:textId="77777777" w:rsidR="00AB6C36" w:rsidRPr="0002551C" w:rsidRDefault="00AB6C36" w:rsidP="00AB6C36">
      <w:pPr>
        <w:spacing w:after="120"/>
        <w:ind w:firstLine="709"/>
        <w:jc w:val="both"/>
        <w:rPr>
          <w:b/>
          <w:bCs/>
          <w:sz w:val="28"/>
          <w:szCs w:val="28"/>
          <w:lang w:val="uk-UA" w:eastAsia="ru-RU"/>
        </w:rPr>
      </w:pPr>
      <w:r w:rsidRPr="0002551C">
        <w:rPr>
          <w:b/>
          <w:bCs/>
          <w:sz w:val="28"/>
          <w:szCs w:val="28"/>
          <w:lang w:val="uk-UA" w:eastAsia="ru-RU"/>
        </w:rPr>
        <w:t>2. Цілі та завдання проекту Закону</w:t>
      </w:r>
    </w:p>
    <w:p w14:paraId="579A3C9E" w14:textId="2C954BF9" w:rsidR="00216EF2" w:rsidRPr="0002551C" w:rsidRDefault="00AB6C36" w:rsidP="00AB6C36">
      <w:pPr>
        <w:spacing w:after="120"/>
        <w:ind w:firstLine="709"/>
        <w:jc w:val="both"/>
        <w:rPr>
          <w:sz w:val="28"/>
          <w:szCs w:val="28"/>
          <w:lang w:val="uk-UA" w:eastAsia="ru-RU"/>
        </w:rPr>
      </w:pPr>
      <w:r w:rsidRPr="0002551C">
        <w:rPr>
          <w:sz w:val="28"/>
          <w:szCs w:val="28"/>
          <w:lang w:val="uk-UA" w:eastAsia="ru-RU"/>
        </w:rPr>
        <w:t>Про</w:t>
      </w:r>
      <w:r w:rsidR="00BB2D7C" w:rsidRPr="0002551C">
        <w:rPr>
          <w:sz w:val="28"/>
          <w:szCs w:val="28"/>
          <w:lang w:val="uk-UA" w:eastAsia="ru-RU"/>
        </w:rPr>
        <w:t>е</w:t>
      </w:r>
      <w:r w:rsidRPr="0002551C">
        <w:rPr>
          <w:sz w:val="28"/>
          <w:szCs w:val="28"/>
          <w:lang w:val="uk-UA" w:eastAsia="ru-RU"/>
        </w:rPr>
        <w:t>кт Закону України спрямований на</w:t>
      </w:r>
      <w:r w:rsidR="00216EF2" w:rsidRPr="0002551C">
        <w:rPr>
          <w:sz w:val="28"/>
          <w:szCs w:val="28"/>
          <w:lang w:val="uk-UA" w:eastAsia="ru-RU"/>
        </w:rPr>
        <w:t xml:space="preserve"> надання можливості перегляду судових рішень судом вищого рівня за ініціативою осіб, які не були учасниками справи, однак щодо яких </w:t>
      </w:r>
      <w:r w:rsidR="00614252" w:rsidRPr="0002551C">
        <w:rPr>
          <w:sz w:val="28"/>
          <w:szCs w:val="28"/>
          <w:lang w:val="uk-UA" w:eastAsia="ru-RU"/>
        </w:rPr>
        <w:t>рішенням суду порушенні їх права, свободи та інтереси або без дотримання гарантій передбачених Конституції України встановлені факти, що впливають на права, свободи та інтереси таких осіб.</w:t>
      </w:r>
    </w:p>
    <w:p w14:paraId="13B0ADAB" w14:textId="77777777" w:rsidR="00AB6C36" w:rsidRPr="0002551C" w:rsidRDefault="00AB6C36" w:rsidP="00AB6C36">
      <w:pPr>
        <w:spacing w:after="120"/>
        <w:ind w:firstLine="709"/>
        <w:jc w:val="both"/>
        <w:rPr>
          <w:bCs/>
          <w:sz w:val="28"/>
          <w:szCs w:val="28"/>
          <w:lang w:val="uk-UA" w:eastAsia="ru-RU"/>
        </w:rPr>
      </w:pPr>
      <w:r w:rsidRPr="0002551C">
        <w:rPr>
          <w:b/>
          <w:bCs/>
          <w:sz w:val="28"/>
          <w:szCs w:val="28"/>
          <w:lang w:val="uk-UA" w:eastAsia="ru-RU"/>
        </w:rPr>
        <w:t>3. Загальна характеристика і основні положення проекту Закону</w:t>
      </w:r>
    </w:p>
    <w:p w14:paraId="7A336BE0" w14:textId="3323FD41" w:rsidR="00614252" w:rsidRPr="0002551C" w:rsidRDefault="00AB6C36" w:rsidP="00614252">
      <w:pPr>
        <w:spacing w:after="120"/>
        <w:ind w:firstLine="709"/>
        <w:jc w:val="both"/>
        <w:rPr>
          <w:sz w:val="28"/>
          <w:szCs w:val="28"/>
          <w:lang w:val="uk-UA" w:eastAsia="ru-RU"/>
        </w:rPr>
      </w:pPr>
      <w:r w:rsidRPr="0002551C">
        <w:rPr>
          <w:sz w:val="28"/>
          <w:szCs w:val="28"/>
          <w:lang w:val="uk-UA" w:eastAsia="ru-RU"/>
        </w:rPr>
        <w:t>Проектом Закону України пропонується</w:t>
      </w:r>
      <w:r w:rsidR="00614252" w:rsidRPr="0002551C">
        <w:rPr>
          <w:sz w:val="28"/>
          <w:szCs w:val="28"/>
          <w:lang w:val="uk-UA" w:eastAsia="ru-RU"/>
        </w:rPr>
        <w:t xml:space="preserve"> додати абзац четвертий до частини 4 статті 394 Кримінального процесуального кодексу України, яким надати можливість оскарження вироку суду першої інстанції на підставі угоди між прокурором та підозрюваним, обвинуваченим про визнання винуватості особі, за умови, що вирок стосується її прав, свобод та інтересів, зокрема зміст вироку надає можливість стверджувати про співучасть такої особи у вчиненні кримінального правопорушення, і у такий спосіб створює можливість звільнення від </w:t>
      </w:r>
      <w:r w:rsidR="00BB2D7C" w:rsidRPr="0002551C">
        <w:rPr>
          <w:sz w:val="28"/>
          <w:szCs w:val="28"/>
          <w:lang w:val="uk-UA" w:eastAsia="ru-RU"/>
        </w:rPr>
        <w:t>обов’язку</w:t>
      </w:r>
      <w:r w:rsidR="00614252" w:rsidRPr="0002551C">
        <w:rPr>
          <w:sz w:val="28"/>
          <w:szCs w:val="28"/>
          <w:lang w:val="uk-UA" w:eastAsia="ru-RU"/>
        </w:rPr>
        <w:t xml:space="preserve"> доказування обставин щодо причетності такої особи до вчинення кримінального правопорушення та усупереч презумпції невинуватості встановлює її винуватість у вчиненні злочину.</w:t>
      </w:r>
    </w:p>
    <w:p w14:paraId="51022879" w14:textId="77777777" w:rsidR="00614252" w:rsidRPr="0002551C" w:rsidRDefault="00614252" w:rsidP="00AB6C36">
      <w:pPr>
        <w:spacing w:after="120"/>
        <w:ind w:firstLine="709"/>
        <w:jc w:val="both"/>
        <w:rPr>
          <w:b/>
          <w:bCs/>
          <w:sz w:val="28"/>
          <w:szCs w:val="28"/>
          <w:lang w:val="uk-UA" w:eastAsia="ru-RU"/>
        </w:rPr>
      </w:pPr>
    </w:p>
    <w:p w14:paraId="6B4FA07B" w14:textId="5CA8C108" w:rsidR="00AB6C36" w:rsidRPr="0002551C" w:rsidRDefault="00AB6C36" w:rsidP="00AB6C36">
      <w:pPr>
        <w:spacing w:after="120"/>
        <w:ind w:firstLine="709"/>
        <w:jc w:val="both"/>
        <w:rPr>
          <w:sz w:val="28"/>
          <w:szCs w:val="28"/>
          <w:lang w:val="uk-UA" w:eastAsia="ru-RU"/>
        </w:rPr>
      </w:pPr>
      <w:r w:rsidRPr="0002551C">
        <w:rPr>
          <w:b/>
          <w:bCs/>
          <w:sz w:val="28"/>
          <w:szCs w:val="28"/>
          <w:lang w:val="uk-UA" w:eastAsia="ru-RU"/>
        </w:rPr>
        <w:t>4. Стан нормативно-правової бази у зазначеній сфері правового регулювання</w:t>
      </w:r>
    </w:p>
    <w:p w14:paraId="68CC84FE" w14:textId="45414D75" w:rsidR="00AB6C36" w:rsidRPr="0002551C" w:rsidRDefault="00AB6C36" w:rsidP="00AB6C36">
      <w:pPr>
        <w:spacing w:after="120"/>
        <w:ind w:firstLine="709"/>
        <w:jc w:val="both"/>
        <w:rPr>
          <w:spacing w:val="-4"/>
          <w:sz w:val="28"/>
          <w:szCs w:val="28"/>
          <w:lang w:val="uk-UA" w:eastAsia="ru-RU"/>
        </w:rPr>
      </w:pPr>
      <w:r w:rsidRPr="0002551C">
        <w:rPr>
          <w:sz w:val="28"/>
          <w:szCs w:val="28"/>
          <w:lang w:val="uk-UA" w:eastAsia="ru-RU"/>
        </w:rPr>
        <w:t xml:space="preserve">У зазначеній сфері правового регулювання діють Конституція України, </w:t>
      </w:r>
      <w:r w:rsidR="00614252" w:rsidRPr="0002551C">
        <w:rPr>
          <w:sz w:val="28"/>
          <w:szCs w:val="28"/>
          <w:lang w:val="uk-UA" w:eastAsia="ru-RU"/>
        </w:rPr>
        <w:t xml:space="preserve">Кримінальний процесуальний кодекс України та </w:t>
      </w:r>
      <w:r w:rsidRPr="0002551C">
        <w:rPr>
          <w:sz w:val="28"/>
          <w:szCs w:val="28"/>
          <w:lang w:val="uk-UA" w:eastAsia="ru-RU"/>
        </w:rPr>
        <w:t>інші нормативно-правові акти</w:t>
      </w:r>
      <w:r w:rsidRPr="0002551C">
        <w:rPr>
          <w:spacing w:val="-4"/>
          <w:sz w:val="28"/>
          <w:szCs w:val="28"/>
          <w:lang w:val="uk-UA" w:eastAsia="ru-RU"/>
        </w:rPr>
        <w:t>.</w:t>
      </w:r>
    </w:p>
    <w:p w14:paraId="18ED24C8" w14:textId="77777777" w:rsidR="00614252" w:rsidRPr="0002551C" w:rsidRDefault="00614252" w:rsidP="00AB6C36">
      <w:pPr>
        <w:spacing w:after="120"/>
        <w:ind w:firstLine="709"/>
        <w:jc w:val="both"/>
        <w:rPr>
          <w:b/>
          <w:bCs/>
          <w:sz w:val="28"/>
          <w:szCs w:val="28"/>
          <w:lang w:val="uk-UA" w:eastAsia="ru-RU"/>
        </w:rPr>
      </w:pPr>
    </w:p>
    <w:p w14:paraId="0916FD49" w14:textId="641BC8A4" w:rsidR="00AB6C36" w:rsidRPr="0002551C" w:rsidRDefault="00AB6C36" w:rsidP="00AB6C36">
      <w:pPr>
        <w:spacing w:after="120"/>
        <w:ind w:firstLine="709"/>
        <w:jc w:val="both"/>
        <w:rPr>
          <w:sz w:val="28"/>
          <w:szCs w:val="28"/>
          <w:lang w:val="uk-UA" w:eastAsia="ru-RU"/>
        </w:rPr>
      </w:pPr>
      <w:r w:rsidRPr="0002551C">
        <w:rPr>
          <w:b/>
          <w:bCs/>
          <w:sz w:val="28"/>
          <w:szCs w:val="28"/>
          <w:lang w:val="uk-UA" w:eastAsia="ru-RU"/>
        </w:rPr>
        <w:t>5. Фінансово-економічне обґрунтування</w:t>
      </w:r>
    </w:p>
    <w:p w14:paraId="51FF9A68" w14:textId="77777777" w:rsidR="00AB6C36" w:rsidRPr="0002551C" w:rsidRDefault="00AB6C36" w:rsidP="00AB6C36">
      <w:pPr>
        <w:spacing w:after="120"/>
        <w:ind w:firstLine="709"/>
        <w:jc w:val="both"/>
        <w:rPr>
          <w:sz w:val="28"/>
          <w:szCs w:val="28"/>
          <w:lang w:val="uk-UA" w:eastAsia="ru-RU"/>
        </w:rPr>
      </w:pPr>
      <w:r w:rsidRPr="0002551C">
        <w:rPr>
          <w:sz w:val="28"/>
          <w:szCs w:val="28"/>
          <w:lang w:val="uk-UA" w:eastAsia="ru-RU"/>
        </w:rPr>
        <w:t xml:space="preserve">Реалізація Закону у разі його прийняття не потребуватиме додаткових витрат з Державного бюджету України. </w:t>
      </w:r>
    </w:p>
    <w:p w14:paraId="4A100850" w14:textId="77777777" w:rsidR="00614252" w:rsidRPr="0002551C" w:rsidRDefault="00614252" w:rsidP="00AB6C36">
      <w:pPr>
        <w:spacing w:after="120"/>
        <w:ind w:firstLine="709"/>
        <w:jc w:val="both"/>
        <w:rPr>
          <w:b/>
          <w:bCs/>
          <w:sz w:val="28"/>
          <w:szCs w:val="28"/>
          <w:lang w:val="uk-UA" w:eastAsia="ru-RU"/>
        </w:rPr>
      </w:pPr>
    </w:p>
    <w:p w14:paraId="55D36D29" w14:textId="24AADDE9" w:rsidR="00AB6C36" w:rsidRPr="0002551C" w:rsidRDefault="00AB6C36" w:rsidP="00AB6C36">
      <w:pPr>
        <w:spacing w:after="120"/>
        <w:ind w:firstLine="709"/>
        <w:jc w:val="both"/>
        <w:rPr>
          <w:sz w:val="28"/>
          <w:szCs w:val="28"/>
          <w:lang w:val="uk-UA" w:eastAsia="ru-RU"/>
        </w:rPr>
      </w:pPr>
      <w:r w:rsidRPr="0002551C">
        <w:rPr>
          <w:b/>
          <w:bCs/>
          <w:sz w:val="28"/>
          <w:szCs w:val="28"/>
          <w:lang w:val="uk-UA" w:eastAsia="ru-RU"/>
        </w:rPr>
        <w:lastRenderedPageBreak/>
        <w:t>6. Прогноз соціально-економічних та інших наслідків прийняття Закону</w:t>
      </w:r>
    </w:p>
    <w:p w14:paraId="60C15062" w14:textId="4156C1CA" w:rsidR="00614252" w:rsidRPr="0002551C" w:rsidRDefault="00AB6C36" w:rsidP="00AB6C36">
      <w:pPr>
        <w:spacing w:after="120"/>
        <w:ind w:firstLine="709"/>
        <w:jc w:val="both"/>
        <w:rPr>
          <w:sz w:val="28"/>
          <w:szCs w:val="28"/>
          <w:lang w:val="uk-UA" w:eastAsia="ru-RU"/>
        </w:rPr>
      </w:pPr>
      <w:r w:rsidRPr="0002551C">
        <w:rPr>
          <w:sz w:val="28"/>
          <w:szCs w:val="28"/>
          <w:lang w:val="uk-UA" w:eastAsia="ru-RU"/>
        </w:rPr>
        <w:t xml:space="preserve">Прийняття цього </w:t>
      </w:r>
      <w:r w:rsidR="00BB2D7C" w:rsidRPr="0002551C">
        <w:rPr>
          <w:sz w:val="28"/>
          <w:szCs w:val="28"/>
          <w:lang w:val="uk-UA" w:eastAsia="ru-RU"/>
        </w:rPr>
        <w:t>законопроекту</w:t>
      </w:r>
      <w:r w:rsidRPr="0002551C">
        <w:rPr>
          <w:sz w:val="28"/>
          <w:szCs w:val="28"/>
          <w:lang w:val="uk-UA" w:eastAsia="ru-RU"/>
        </w:rPr>
        <w:t xml:space="preserve"> дозволить усунути невідповідність</w:t>
      </w:r>
      <w:r w:rsidR="00614252" w:rsidRPr="0002551C">
        <w:rPr>
          <w:sz w:val="28"/>
          <w:szCs w:val="28"/>
          <w:lang w:val="uk-UA" w:eastAsia="ru-RU"/>
        </w:rPr>
        <w:t xml:space="preserve"> Кримінального процесуального кодексу України нормам Конституції України та надасть право ефективно захищати свої порушенні права, свободи та інтереси, а також надасть можливість використовувати передбачені діючим законодавство гарантії.</w:t>
      </w:r>
    </w:p>
    <w:p w14:paraId="0EDB48E1" w14:textId="77777777" w:rsidR="00AB6C36" w:rsidRPr="0002551C" w:rsidRDefault="00AB6C36" w:rsidP="00AB6C36">
      <w:pPr>
        <w:spacing w:after="120"/>
        <w:rPr>
          <w:color w:val="000000"/>
          <w:sz w:val="28"/>
          <w:szCs w:val="28"/>
          <w:lang w:val="uk-UA" w:eastAsia="uk-UA"/>
        </w:rPr>
      </w:pPr>
    </w:p>
    <w:p w14:paraId="0D879AEF" w14:textId="695DF477" w:rsidR="00614252" w:rsidRPr="00F01EC0" w:rsidRDefault="00AB6C36" w:rsidP="00614252">
      <w:pPr>
        <w:tabs>
          <w:tab w:val="left" w:pos="1065"/>
        </w:tabs>
        <w:spacing w:after="120"/>
        <w:rPr>
          <w:b/>
          <w:i/>
          <w:iCs/>
          <w:lang w:val="uk-UA" w:eastAsia="ru-RU"/>
        </w:rPr>
      </w:pPr>
      <w:r w:rsidRPr="0002551C">
        <w:rPr>
          <w:b/>
          <w:sz w:val="28"/>
          <w:szCs w:val="28"/>
          <w:lang w:val="uk-UA" w:eastAsia="ru-RU"/>
        </w:rPr>
        <w:t>Народн</w:t>
      </w:r>
      <w:r w:rsidR="00BB2D7C" w:rsidRPr="0002551C">
        <w:rPr>
          <w:b/>
          <w:sz w:val="28"/>
          <w:szCs w:val="28"/>
          <w:lang w:val="uk-UA" w:eastAsia="ru-RU"/>
        </w:rPr>
        <w:t>і</w:t>
      </w:r>
      <w:r w:rsidRPr="0002551C">
        <w:rPr>
          <w:b/>
          <w:sz w:val="28"/>
          <w:szCs w:val="28"/>
          <w:lang w:val="uk-UA" w:eastAsia="ru-RU"/>
        </w:rPr>
        <w:t xml:space="preserve"> депутат</w:t>
      </w:r>
      <w:r w:rsidR="00BB2D7C" w:rsidRPr="0002551C">
        <w:rPr>
          <w:b/>
          <w:sz w:val="28"/>
          <w:szCs w:val="28"/>
          <w:lang w:val="uk-UA" w:eastAsia="ru-RU"/>
        </w:rPr>
        <w:t>и</w:t>
      </w:r>
      <w:r w:rsidRPr="0002551C">
        <w:rPr>
          <w:b/>
          <w:sz w:val="28"/>
          <w:szCs w:val="28"/>
          <w:lang w:val="uk-UA" w:eastAsia="ru-RU"/>
        </w:rPr>
        <w:t xml:space="preserve"> України</w:t>
      </w:r>
      <w:r w:rsidRPr="00602946">
        <w:rPr>
          <w:b/>
          <w:sz w:val="28"/>
          <w:szCs w:val="28"/>
          <w:lang w:val="uk-UA" w:eastAsia="ru-RU"/>
        </w:rPr>
        <w:tab/>
      </w:r>
      <w:r w:rsidRPr="00602946">
        <w:rPr>
          <w:b/>
          <w:sz w:val="28"/>
          <w:szCs w:val="28"/>
          <w:lang w:val="uk-UA" w:eastAsia="ru-RU"/>
        </w:rPr>
        <w:tab/>
      </w:r>
      <w:r w:rsidRPr="00602946">
        <w:rPr>
          <w:b/>
          <w:sz w:val="28"/>
          <w:szCs w:val="28"/>
          <w:lang w:val="uk-UA" w:eastAsia="ru-RU"/>
        </w:rPr>
        <w:tab/>
      </w:r>
      <w:r>
        <w:rPr>
          <w:b/>
          <w:sz w:val="28"/>
          <w:szCs w:val="28"/>
          <w:lang w:val="uk-UA" w:eastAsia="ru-RU"/>
        </w:rPr>
        <w:t xml:space="preserve">                  </w:t>
      </w:r>
    </w:p>
    <w:p w14:paraId="264F8955" w14:textId="754F6598" w:rsidR="00AB6C36" w:rsidRPr="0059387F" w:rsidRDefault="00AB6C36" w:rsidP="00AB6C36">
      <w:pPr>
        <w:tabs>
          <w:tab w:val="left" w:pos="1065"/>
        </w:tabs>
        <w:spacing w:after="120"/>
        <w:jc w:val="right"/>
        <w:rPr>
          <w:b/>
          <w:i/>
          <w:iCs/>
          <w:lang w:val="en-US"/>
        </w:rPr>
      </w:pPr>
      <w:r w:rsidRPr="00F01EC0">
        <w:rPr>
          <w:b/>
          <w:i/>
          <w:iCs/>
          <w:lang w:val="uk-UA" w:eastAsia="ru-RU"/>
        </w:rPr>
        <w:tab/>
      </w:r>
      <w:r w:rsidRPr="00F01EC0">
        <w:rPr>
          <w:b/>
          <w:i/>
          <w:iCs/>
          <w:lang w:val="uk-UA" w:eastAsia="ru-RU"/>
        </w:rPr>
        <w:tab/>
      </w:r>
    </w:p>
    <w:p w14:paraId="2D78022B" w14:textId="77777777" w:rsidR="00220833" w:rsidRDefault="00220833"/>
    <w:sectPr w:rsidR="00220833" w:rsidSect="0069168F">
      <w:head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31C8CF" w14:textId="77777777" w:rsidR="00F4214D" w:rsidRDefault="00F4214D">
      <w:r>
        <w:separator/>
      </w:r>
    </w:p>
  </w:endnote>
  <w:endnote w:type="continuationSeparator" w:id="0">
    <w:p w14:paraId="36E4FB10" w14:textId="77777777" w:rsidR="00F4214D" w:rsidRDefault="00F42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A98205" w14:textId="77777777" w:rsidR="00F4214D" w:rsidRDefault="00F4214D">
      <w:r>
        <w:separator/>
      </w:r>
    </w:p>
  </w:footnote>
  <w:footnote w:type="continuationSeparator" w:id="0">
    <w:p w14:paraId="0095C8F1" w14:textId="77777777" w:rsidR="00F4214D" w:rsidRDefault="00F421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458CB" w14:textId="326B07BD" w:rsidR="001F335B" w:rsidRPr="00D37E97" w:rsidRDefault="0095030C" w:rsidP="001F335B">
    <w:pPr>
      <w:pStyle w:val="a3"/>
      <w:framePr w:wrap="auto" w:vAnchor="text" w:hAnchor="margin" w:xAlign="center" w:y="1"/>
      <w:rPr>
        <w:rStyle w:val="a5"/>
        <w:sz w:val="28"/>
        <w:szCs w:val="28"/>
      </w:rPr>
    </w:pPr>
    <w:r w:rsidRPr="00D37E97">
      <w:rPr>
        <w:rStyle w:val="a5"/>
        <w:sz w:val="28"/>
        <w:szCs w:val="28"/>
      </w:rPr>
      <w:fldChar w:fldCharType="begin"/>
    </w:r>
    <w:r w:rsidRPr="00D37E97">
      <w:rPr>
        <w:rStyle w:val="a5"/>
        <w:sz w:val="28"/>
        <w:szCs w:val="28"/>
      </w:rPr>
      <w:instrText xml:space="preserve">PAGE  </w:instrText>
    </w:r>
    <w:r w:rsidRPr="00D37E97">
      <w:rPr>
        <w:rStyle w:val="a5"/>
        <w:sz w:val="28"/>
        <w:szCs w:val="28"/>
      </w:rPr>
      <w:fldChar w:fldCharType="separate"/>
    </w:r>
    <w:r w:rsidR="00C11833">
      <w:rPr>
        <w:rStyle w:val="a5"/>
        <w:noProof/>
        <w:sz w:val="28"/>
        <w:szCs w:val="28"/>
      </w:rPr>
      <w:t>4</w:t>
    </w:r>
    <w:r w:rsidRPr="00D37E97">
      <w:rPr>
        <w:rStyle w:val="a5"/>
        <w:sz w:val="28"/>
        <w:szCs w:val="28"/>
      </w:rPr>
      <w:fldChar w:fldCharType="end"/>
    </w:r>
  </w:p>
  <w:p w14:paraId="42DF588F" w14:textId="77777777" w:rsidR="001F335B" w:rsidRDefault="00F4214D">
    <w:pPr>
      <w:pStyle w:val="a3"/>
    </w:pPr>
  </w:p>
  <w:p w14:paraId="0D55469C" w14:textId="77777777" w:rsidR="009E38C1" w:rsidRDefault="00F4214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C36"/>
    <w:rsid w:val="00002ADC"/>
    <w:rsid w:val="0002551C"/>
    <w:rsid w:val="0010218D"/>
    <w:rsid w:val="00130EE3"/>
    <w:rsid w:val="00216EF2"/>
    <w:rsid w:val="00220833"/>
    <w:rsid w:val="004233C0"/>
    <w:rsid w:val="0045160B"/>
    <w:rsid w:val="00614252"/>
    <w:rsid w:val="0095030C"/>
    <w:rsid w:val="00AB6C36"/>
    <w:rsid w:val="00BB2D7C"/>
    <w:rsid w:val="00C11833"/>
    <w:rsid w:val="00C40CED"/>
    <w:rsid w:val="00EB0020"/>
    <w:rsid w:val="00F4214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C1148"/>
  <w15:chartTrackingRefBased/>
  <w15:docId w15:val="{E5ED8C32-E974-764A-9704-A4B8D9965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C36"/>
    <w:rPr>
      <w:rFonts w:ascii="Times New Roman" w:eastAsia="Times New Roman" w:hAnsi="Times New Roman" w:cs="Times New Roman"/>
      <w:lang w:val="ru-RU"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B6C36"/>
    <w:pPr>
      <w:tabs>
        <w:tab w:val="center" w:pos="4819"/>
        <w:tab w:val="right" w:pos="9639"/>
      </w:tabs>
    </w:pPr>
  </w:style>
  <w:style w:type="character" w:customStyle="1" w:styleId="a4">
    <w:name w:val="Верхній колонтитул Знак"/>
    <w:basedOn w:val="a0"/>
    <w:link w:val="a3"/>
    <w:uiPriority w:val="99"/>
    <w:rsid w:val="00AB6C36"/>
    <w:rPr>
      <w:rFonts w:ascii="Times New Roman" w:eastAsia="Times New Roman" w:hAnsi="Times New Roman" w:cs="Times New Roman"/>
      <w:lang w:val="ru-RU" w:eastAsia="zh-CN"/>
    </w:rPr>
  </w:style>
  <w:style w:type="character" w:styleId="a5">
    <w:name w:val="page number"/>
    <w:basedOn w:val="a0"/>
    <w:uiPriority w:val="99"/>
    <w:rsid w:val="00AB6C36"/>
    <w:rPr>
      <w:rFonts w:cs="Times New Roman"/>
    </w:rPr>
  </w:style>
  <w:style w:type="paragraph" w:customStyle="1" w:styleId="rvps2">
    <w:name w:val="rvps2"/>
    <w:basedOn w:val="a"/>
    <w:rsid w:val="0010218D"/>
    <w:pPr>
      <w:spacing w:before="100" w:beforeAutospacing="1" w:after="100" w:afterAutospacing="1"/>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E167E-03A0-4487-8FCC-7AB68CEFEAA8}">
  <ds:schemaRefs>
    <ds:schemaRef ds:uri="http://schemas.microsoft.com/sharepoint/v3/contenttype/forms"/>
  </ds:schemaRefs>
</ds:datastoreItem>
</file>

<file path=customXml/itemProps2.xml><?xml version="1.0" encoding="utf-8"?>
<ds:datastoreItem xmlns:ds="http://schemas.openxmlformats.org/officeDocument/2006/customXml" ds:itemID="{16F01294-D545-4095-8F1C-3E6B05AA33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1203A9-2520-4A89-A000-0CC04001130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BA97F52-3691-4B46-BE6B-00F235C9A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5008</Words>
  <Characters>2855</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2021-11-19T10:01:00Z</dcterms:created>
  <dcterms:modified xsi:type="dcterms:W3CDTF">2021-11-19T10:01:00Z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