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Pr="009E6899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9E6899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9E6899" w:rsidRDefault="00F517EC" w:rsidP="009E6899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9E689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9A75E9" w:rsidRPr="009E6899" w:rsidRDefault="00F517EC" w:rsidP="009E6899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proofErr w:type="spellStart"/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проєкту</w:t>
      </w:r>
      <w:proofErr w:type="spellEnd"/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«Про</w:t>
      </w:r>
      <w:r w:rsidR="00651D8F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651D8F" w:rsidRPr="009E689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внесення змін до деяких законодавчих актів України щодо удосконалення інструментів системи державного фінансового контролю</w:t>
      </w:r>
      <w:r w:rsidR="009A75E9" w:rsidRPr="009E6899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F517EC" w:rsidRPr="009E6899" w:rsidRDefault="009A75E9" w:rsidP="009E6899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F517EC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 № </w:t>
      </w:r>
      <w:r w:rsidR="00651D8F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6330 від 19.11.2021</w:t>
      </w:r>
      <w:r w:rsidR="00D53492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proofErr w:type="spellStart"/>
      <w:r w:rsidR="00625841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н.д</w:t>
      </w:r>
      <w:proofErr w:type="spellEnd"/>
      <w:r w:rsidR="00625841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651D8F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Василевська-Смаглюк О.М. </w:t>
      </w: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та інші</w:t>
      </w:r>
      <w:r w:rsidR="00F517EC"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  <w:r w:rsidR="00F517EC" w:rsidRPr="009E6899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9E6899" w:rsidRDefault="00F517EC" w:rsidP="009E6899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47FE1" w:rsidRPr="009E6899" w:rsidRDefault="00F47FE1" w:rsidP="009E6899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9E6899" w:rsidRDefault="00D53492" w:rsidP="009E6899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9E6899" w:rsidRDefault="00D53492" w:rsidP="009E6899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 Загальна характеристика </w:t>
      </w:r>
      <w:proofErr w:type="spellStart"/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7B465F" w:rsidRPr="007B465F" w:rsidRDefault="00D53492" w:rsidP="009E6899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розроблення </w:t>
      </w:r>
      <w:proofErr w:type="spellStart"/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Закону, як зазна</w:t>
      </w:r>
      <w:r w:rsidR="00082190"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чено у пояснювальній записці, </w:t>
      </w:r>
      <w:r w:rsidR="007B465F" w:rsidRPr="007B46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є удосконалення інструментів </w:t>
      </w:r>
      <w:r w:rsidR="007B465F" w:rsidRPr="007B465F">
        <w:rPr>
          <w:rFonts w:ascii="Times New Roman" w:eastAsia="Times New Roman" w:hAnsi="Times New Roman"/>
          <w:sz w:val="28"/>
          <w:szCs w:val="28"/>
          <w:lang w:val="uk-UA" w:eastAsia="ru-RU"/>
        </w:rPr>
        <w:t>системи державного фінансового контролю на державному, регіональному та місцевому рівні, яка сприятиме дотриманню законності та ефективності державного управління та управління державними фінансами, виявленню і попередженню порушень законодавства, які загрожують фінансовій безпеці держави, недопущенню зловживань у фінансовій сфері та шахрайства з державними ресурсами, посиленню контролю за найбільш ризиковими сферами, зокрема під час управління об’єктами державної власності.</w:t>
      </w:r>
    </w:p>
    <w:p w:rsidR="00082190" w:rsidRPr="009E6899" w:rsidRDefault="00082190" w:rsidP="009E6899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53492" w:rsidRPr="009E6899" w:rsidRDefault="00D53492" w:rsidP="009E6899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9E6899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2.  </w:t>
      </w:r>
      <w:r w:rsidRPr="009E689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Належність </w:t>
      </w:r>
      <w:proofErr w:type="spellStart"/>
      <w:r w:rsidRPr="009E689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  <w:r w:rsidRPr="009E689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D53492" w:rsidRPr="009E6899" w:rsidRDefault="00D53492" w:rsidP="009E6899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</w:t>
      </w:r>
      <w:proofErr w:type="spellStart"/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охоплюється:</w:t>
      </w:r>
    </w:p>
    <w:p w:rsidR="00F44FBF" w:rsidRPr="00585620" w:rsidRDefault="00F44FBF" w:rsidP="009E6899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5620">
        <w:rPr>
          <w:rFonts w:ascii="Times New Roman" w:eastAsia="Times New Roman" w:hAnsi="Times New Roman"/>
          <w:bCs/>
          <w:i/>
          <w:kern w:val="1"/>
          <w:sz w:val="28"/>
          <w:szCs w:val="28"/>
          <w:lang w:val="uk-UA" w:eastAsia="ru-RU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585620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 (далі – Угода про асоціацію).</w:t>
      </w:r>
    </w:p>
    <w:p w:rsidR="00F44FBF" w:rsidRPr="009E6899" w:rsidRDefault="00F44FBF" w:rsidP="009E6899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35C0">
        <w:rPr>
          <w:rFonts w:ascii="Times New Roman" w:hAnsi="Times New Roman"/>
          <w:i/>
          <w:sz w:val="28"/>
          <w:szCs w:val="28"/>
          <w:lang w:val="uk-UA"/>
        </w:rPr>
        <w:t xml:space="preserve">Консолідованою версією </w:t>
      </w:r>
      <w:r w:rsidR="00D160BF" w:rsidRPr="009035C0">
        <w:rPr>
          <w:rFonts w:ascii="Times New Roman" w:hAnsi="Times New Roman"/>
          <w:i/>
          <w:sz w:val="28"/>
          <w:szCs w:val="28"/>
          <w:lang w:val="uk-UA"/>
        </w:rPr>
        <w:t>Договору про функціонування Європейського Союзу</w:t>
      </w:r>
      <w:r w:rsidRPr="009E6899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6409B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OJ C 326, 26.10.2012, p. 47–390</w:t>
      </w:r>
      <w:r w:rsidRPr="009E6899">
        <w:rPr>
          <w:rFonts w:ascii="Times New Roman" w:hAnsi="Times New Roman"/>
          <w:iCs/>
          <w:sz w:val="28"/>
          <w:szCs w:val="28"/>
          <w:lang w:val="uk-UA"/>
        </w:rPr>
        <w:t>)</w:t>
      </w:r>
      <w:r w:rsidR="009E6899" w:rsidRPr="009E6899"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A2464D" w:rsidRPr="009E6899" w:rsidRDefault="00245EAD" w:rsidP="009E6899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35C0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Регламентом 2021/785 </w:t>
      </w:r>
      <w:r w:rsidR="009E6899" w:rsidRPr="009035C0">
        <w:rPr>
          <w:rFonts w:ascii="Times New Roman" w:hAnsi="Times New Roman"/>
          <w:i/>
          <w:sz w:val="28"/>
          <w:szCs w:val="28"/>
          <w:lang w:val="uk-UA"/>
        </w:rPr>
        <w:t>Європейського</w:t>
      </w:r>
      <w:r w:rsidRPr="009035C0">
        <w:rPr>
          <w:rFonts w:ascii="Times New Roman" w:hAnsi="Times New Roman"/>
          <w:i/>
          <w:sz w:val="28"/>
          <w:szCs w:val="28"/>
          <w:lang w:val="uk-UA"/>
        </w:rPr>
        <w:t xml:space="preserve"> Парламенту та Ради від 29 квітня 2021 року щодо заснування Програми Європейського Союзу протидії шахрайству та скасовує Регламент 250/2014</w:t>
      </w:r>
      <w:r w:rsidR="009E6899" w:rsidRPr="009E689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6899">
        <w:rPr>
          <w:rFonts w:ascii="Times New Roman" w:hAnsi="Times New Roman"/>
          <w:sz w:val="28"/>
          <w:szCs w:val="28"/>
          <w:lang w:val="uk-UA"/>
        </w:rPr>
        <w:t>(</w:t>
      </w:r>
      <w:r w:rsidRPr="009E6899">
        <w:rPr>
          <w:rStyle w:val="af0"/>
          <w:rFonts w:ascii="Times New Roman" w:hAnsi="Times New Roman"/>
          <w:sz w:val="28"/>
          <w:szCs w:val="28"/>
          <w:lang w:val="uk-UA"/>
        </w:rPr>
        <w:t>OJ L 172, 17.5.2021, p. 110–122)</w:t>
      </w:r>
      <w:r w:rsidR="009E6899" w:rsidRPr="009E6899">
        <w:rPr>
          <w:rStyle w:val="af0"/>
          <w:rFonts w:ascii="Times New Roman" w:hAnsi="Times New Roman"/>
          <w:sz w:val="28"/>
          <w:szCs w:val="28"/>
          <w:lang w:val="uk-UA"/>
        </w:rPr>
        <w:t>.</w:t>
      </w:r>
    </w:p>
    <w:p w:rsidR="00A2464D" w:rsidRPr="009E6899" w:rsidRDefault="00A2464D" w:rsidP="009E6899">
      <w:pPr>
        <w:spacing w:after="120" w:line="240" w:lineRule="auto"/>
        <w:ind w:left="502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A2464D" w:rsidRPr="009E6899" w:rsidRDefault="00A2464D" w:rsidP="009E6899">
      <w:pPr>
        <w:spacing w:after="120" w:line="240" w:lineRule="auto"/>
        <w:ind w:left="502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1D6464" w:rsidRPr="009E6899" w:rsidRDefault="00D53492" w:rsidP="009E6899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E6899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Відповідність </w:t>
      </w:r>
      <w:proofErr w:type="spellStart"/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міжнародно-правовим зобов’язанням України в сфері європейської інтеграції та праву ЄС.</w:t>
      </w:r>
    </w:p>
    <w:p w:rsidR="00A017DB" w:rsidRPr="008E7CC8" w:rsidRDefault="00A017DB" w:rsidP="008E7CC8">
      <w:pPr>
        <w:pStyle w:val="ae"/>
        <w:spacing w:after="120" w:line="240" w:lineRule="auto"/>
        <w:ind w:left="-426" w:firstLine="426"/>
        <w:jc w:val="both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8E7CC8">
        <w:rPr>
          <w:rFonts w:ascii="Times New Roman" w:hAnsi="Times New Roman"/>
          <w:sz w:val="28"/>
          <w:szCs w:val="28"/>
          <w:lang w:val="uk-UA" w:eastAsia="uk-UA"/>
        </w:rPr>
        <w:t>Законопроєкт</w:t>
      </w:r>
      <w:proofErr w:type="spellEnd"/>
      <w:r w:rsidRPr="008E7CC8">
        <w:rPr>
          <w:rFonts w:ascii="Times New Roman" w:hAnsi="Times New Roman"/>
          <w:sz w:val="28"/>
          <w:szCs w:val="28"/>
          <w:lang w:val="uk-UA" w:eastAsia="uk-UA"/>
        </w:rPr>
        <w:t xml:space="preserve"> передбачає</w:t>
      </w:r>
      <w:r w:rsidR="00FF78CF" w:rsidRPr="008E7CC8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E7CC8">
        <w:rPr>
          <w:rFonts w:ascii="Times New Roman" w:hAnsi="Times New Roman"/>
          <w:bCs/>
          <w:sz w:val="28"/>
          <w:szCs w:val="28"/>
          <w:lang w:val="uk-UA" w:eastAsia="uk-UA"/>
        </w:rPr>
        <w:t xml:space="preserve">створення </w:t>
      </w:r>
      <w:r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>автоматизованої системи підтримки прийняття рішень органу державного фінансового контролю з метою</w:t>
      </w:r>
      <w:r w:rsidRPr="008E7CC8">
        <w:rPr>
          <w:rFonts w:ascii="Times New Roman" w:hAnsi="Times New Roman"/>
          <w:bCs/>
          <w:sz w:val="28"/>
          <w:szCs w:val="28"/>
          <w:lang w:val="uk-UA" w:eastAsia="uk-UA"/>
        </w:rPr>
        <w:t xml:space="preserve"> </w:t>
      </w:r>
      <w:r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отримувати, обробляти, накопичувати та користуватися інформацією з автоматизованих інформаційних і довід</w:t>
      </w:r>
      <w:r w:rsidR="003433B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кових систем, реєстрів, баз</w:t>
      </w:r>
      <w:r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даних органів державної влади, органів місцевого самоврядування, зокрема</w:t>
      </w:r>
      <w:r w:rsidR="003433B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. Предметом розгляду </w:t>
      </w:r>
      <w:r w:rsidR="003433B4"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>фінансового контролю</w:t>
      </w:r>
      <w:r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3433B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є</w:t>
      </w:r>
      <w:r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управління та використання публічних </w:t>
      </w:r>
      <w:r w:rsidR="003433B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коштів, діяльність</w:t>
      </w:r>
      <w:r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суб’єктів господарювання державного та </w:t>
      </w:r>
      <w:r w:rsidR="003433B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комунального сектору економіки.</w:t>
      </w:r>
    </w:p>
    <w:p w:rsidR="00FF78CF" w:rsidRPr="008E7CC8" w:rsidRDefault="00876D1F" w:rsidP="008E7CC8">
      <w:pPr>
        <w:pStyle w:val="ae"/>
        <w:spacing w:after="120" w:line="240" w:lineRule="auto"/>
        <w:ind w:left="-426" w:firstLine="142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ab/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Законопроє</w:t>
      </w:r>
      <w:r w:rsidR="00FF78CF" w:rsidRPr="008E7CC8">
        <w:rPr>
          <w:rFonts w:ascii="Times New Roman" w:hAnsi="Times New Roman"/>
          <w:sz w:val="28"/>
          <w:szCs w:val="28"/>
          <w:lang w:val="uk-UA" w:eastAsia="uk-UA"/>
        </w:rPr>
        <w:t>кт</w:t>
      </w:r>
      <w:proofErr w:type="spellEnd"/>
      <w:r w:rsidR="00FF78CF" w:rsidRPr="008E7CC8">
        <w:rPr>
          <w:rFonts w:ascii="Times New Roman" w:hAnsi="Times New Roman"/>
          <w:sz w:val="28"/>
          <w:szCs w:val="28"/>
          <w:lang w:val="uk-UA" w:eastAsia="uk-UA"/>
        </w:rPr>
        <w:t xml:space="preserve"> пропонує встановити відповідальність </w:t>
      </w:r>
      <w:r w:rsidR="003433B4">
        <w:rPr>
          <w:rFonts w:ascii="Times New Roman" w:hAnsi="Times New Roman"/>
          <w:sz w:val="28"/>
          <w:szCs w:val="28"/>
          <w:lang w:val="uk-UA" w:eastAsia="uk-UA"/>
        </w:rPr>
        <w:t>стосовно:</w:t>
      </w:r>
      <w:r w:rsidR="00FF78CF" w:rsidRPr="008E7CC8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FF78CF" w:rsidRPr="008E7CC8">
        <w:rPr>
          <w:rFonts w:ascii="Times New Roman" w:hAnsi="Times New Roman"/>
          <w:bCs/>
          <w:sz w:val="28"/>
          <w:szCs w:val="28"/>
          <w:lang w:val="uk-UA"/>
        </w:rPr>
        <w:t xml:space="preserve">перешкоджання діяльності </w:t>
      </w:r>
      <w:r w:rsidR="00FF78CF" w:rsidRPr="008E7CC8">
        <w:rPr>
          <w:rFonts w:ascii="Times New Roman" w:hAnsi="Times New Roman"/>
          <w:bCs/>
          <w:sz w:val="28"/>
          <w:szCs w:val="28"/>
          <w:lang w:val="uk-UA" w:eastAsia="uk-UA"/>
        </w:rPr>
        <w:t xml:space="preserve">посадових осіб органу </w:t>
      </w:r>
      <w:r w:rsidR="00FF78CF" w:rsidRPr="008E7CC8">
        <w:rPr>
          <w:rFonts w:ascii="Times New Roman" w:hAnsi="Times New Roman"/>
          <w:bCs/>
          <w:sz w:val="28"/>
          <w:szCs w:val="28"/>
          <w:lang w:val="uk-UA"/>
        </w:rPr>
        <w:t xml:space="preserve">державного фінансового контролю, </w:t>
      </w:r>
      <w:r w:rsidR="00FF78CF"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надання недостовірної </w:t>
      </w:r>
      <w:r w:rsidR="00FF78CF" w:rsidRPr="008E7CC8">
        <w:rPr>
          <w:rFonts w:ascii="Times New Roman" w:hAnsi="Times New Roman"/>
          <w:bCs/>
          <w:sz w:val="28"/>
          <w:szCs w:val="28"/>
          <w:lang w:val="uk-UA"/>
        </w:rPr>
        <w:t xml:space="preserve">(неправдивої, неточної) </w:t>
      </w:r>
      <w:r w:rsidR="00FF78CF" w:rsidRPr="008E7CC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інформації та/або документів, надання інформації та/або документів не в повному обсязі, порушення встановлених строків надання інформації та/або документів, тощо.</w:t>
      </w:r>
    </w:p>
    <w:p w:rsidR="003704DC" w:rsidRPr="008E7CC8" w:rsidRDefault="003704DC" w:rsidP="009E6899">
      <w:pPr>
        <w:suppressAutoHyphens/>
        <w:spacing w:after="120" w:line="240" w:lineRule="auto"/>
        <w:ind w:left="-426" w:firstLine="426"/>
        <w:jc w:val="both"/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</w:pPr>
      <w:r w:rsidRPr="008E7CC8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Відповідно до </w:t>
      </w:r>
      <w:r w:rsidRPr="008E7CC8">
        <w:rPr>
          <w:rFonts w:ascii="Times New Roman" w:eastAsia="Times New Roman" w:hAnsi="Times New Roman"/>
          <w:bCs/>
          <w:i/>
          <w:kern w:val="1"/>
          <w:sz w:val="28"/>
          <w:szCs w:val="28"/>
          <w:lang w:val="uk-UA" w:eastAsia="ru-RU"/>
        </w:rPr>
        <w:t xml:space="preserve">статті 347 Глави 3 «Управління державними фінансами: бюджетна політика, внутрішній контроль і зовнішній аудит» Розділу IV «Економічне та галузеве співробітництво» Угоди про асоціацію </w:t>
      </w:r>
      <w:r w:rsidRPr="008E7CC8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співробітництво в галузі управління державними фінансами спрямовується, зокрема, на забезпечення розвитку надійних систем внутрішнього контролю та зовнішнього аудиту, що базуються на міжнародних стандартах, а також відповідають основоположним принципам підзвітності, прозорості, економності, ефективності та результативності. </w:t>
      </w:r>
    </w:p>
    <w:p w:rsidR="003704DC" w:rsidRPr="008E7CC8" w:rsidRDefault="00A2464D" w:rsidP="009E6899">
      <w:pPr>
        <w:suppressAutoHyphens/>
        <w:spacing w:after="120" w:line="240" w:lineRule="auto"/>
        <w:ind w:left="-426" w:firstLine="426"/>
        <w:jc w:val="both"/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</w:pPr>
      <w:r w:rsidRPr="008E7CC8">
        <w:rPr>
          <w:rFonts w:ascii="Times New Roman" w:eastAsia="Times New Roman" w:hAnsi="Times New Roman"/>
          <w:bCs/>
          <w:i/>
          <w:kern w:val="1"/>
          <w:sz w:val="28"/>
          <w:szCs w:val="28"/>
          <w:lang w:val="uk-UA" w:eastAsia="ru-RU"/>
        </w:rPr>
        <w:t>Стаття 347 Угоди про асоціацію</w:t>
      </w:r>
      <w:r w:rsidRPr="008E7CC8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 передбачає необхідність</w:t>
      </w:r>
      <w:r w:rsidR="003704DC" w:rsidRPr="008E7CC8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 удосконалення методів, спрямованих на припинення шахрайства і корупції та запобігання цим явищам у сферах, що охоплюються Главою 3 Розділу V («Економічне та галузеве співробітництво»), зокрема співробітництво між відповідними адміністративними органами.</w:t>
      </w:r>
    </w:p>
    <w:p w:rsidR="00D160BF" w:rsidRPr="008E7CC8" w:rsidRDefault="00D160BF" w:rsidP="009E6899">
      <w:pPr>
        <w:shd w:val="clear" w:color="auto" w:fill="FFFFFF"/>
        <w:spacing w:after="120" w:line="240" w:lineRule="auto"/>
        <w:ind w:left="-426" w:firstLine="426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8E7CC8">
        <w:rPr>
          <w:rFonts w:ascii="Times New Roman" w:hAnsi="Times New Roman"/>
          <w:iCs/>
          <w:sz w:val="28"/>
          <w:szCs w:val="28"/>
          <w:lang w:val="uk-UA"/>
        </w:rPr>
        <w:t xml:space="preserve">Також такі положення </w:t>
      </w:r>
      <w:proofErr w:type="spellStart"/>
      <w:r w:rsidRPr="008E7CC8">
        <w:rPr>
          <w:rFonts w:ascii="Times New Roman" w:hAnsi="Times New Roman"/>
          <w:iCs/>
          <w:sz w:val="28"/>
          <w:szCs w:val="28"/>
          <w:lang w:val="uk-UA"/>
        </w:rPr>
        <w:t>законопроєкту</w:t>
      </w:r>
      <w:proofErr w:type="spellEnd"/>
      <w:r w:rsidRPr="008E7CC8">
        <w:rPr>
          <w:rFonts w:ascii="Times New Roman" w:hAnsi="Times New Roman"/>
          <w:i/>
          <w:iCs/>
          <w:sz w:val="28"/>
          <w:szCs w:val="28"/>
          <w:lang w:val="uk-UA"/>
        </w:rPr>
        <w:t xml:space="preserve"> узгоджуються зі статтею 325</w:t>
      </w:r>
      <w:r w:rsidR="00F44FBF" w:rsidRPr="008E7CC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F44FBF" w:rsidRPr="008E7CC8">
        <w:rPr>
          <w:rFonts w:ascii="Times New Roman" w:hAnsi="Times New Roman"/>
          <w:i/>
          <w:sz w:val="28"/>
          <w:szCs w:val="28"/>
          <w:lang w:val="uk-UA"/>
        </w:rPr>
        <w:t>Консолідованої версії Договору про функціонування Європейського Союзу</w:t>
      </w:r>
      <w:r w:rsidRPr="008E7CC8">
        <w:rPr>
          <w:rFonts w:ascii="Times New Roman" w:hAnsi="Times New Roman"/>
          <w:sz w:val="28"/>
          <w:szCs w:val="28"/>
          <w:lang w:val="uk-UA" w:eastAsia="uk-UA"/>
        </w:rPr>
        <w:t>, яка вимагає від Європейського Союзу та держав-членів протидіяти шахрайству та будь-якій іншій незаконній діяльності, що зачіпає фінансові інтереси Європейського Союзу. Європейський Союз має підтримувати діяльність у цих сферах.</w:t>
      </w:r>
    </w:p>
    <w:p w:rsidR="00A2464D" w:rsidRPr="008E7CC8" w:rsidRDefault="00A2464D" w:rsidP="009E6899">
      <w:pPr>
        <w:spacing w:after="120" w:line="240" w:lineRule="auto"/>
        <w:ind w:left="-426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8E7CC8">
        <w:rPr>
          <w:rFonts w:ascii="Times New Roman" w:hAnsi="Times New Roman"/>
          <w:i/>
          <w:sz w:val="28"/>
          <w:szCs w:val="28"/>
          <w:lang w:val="uk-UA" w:eastAsia="uk-UA"/>
        </w:rPr>
        <w:t xml:space="preserve">Стаття 9 Регламенту </w:t>
      </w:r>
      <w:r w:rsidRPr="008E7CC8">
        <w:rPr>
          <w:rFonts w:ascii="Times New Roman" w:hAnsi="Times New Roman"/>
          <w:i/>
          <w:sz w:val="28"/>
          <w:szCs w:val="28"/>
          <w:lang w:val="uk-UA"/>
        </w:rPr>
        <w:t>2021/785</w:t>
      </w:r>
      <w:r w:rsidRPr="008E7CC8">
        <w:rPr>
          <w:rFonts w:ascii="Times New Roman" w:hAnsi="Times New Roman"/>
          <w:sz w:val="28"/>
          <w:szCs w:val="28"/>
          <w:lang w:val="uk-UA"/>
        </w:rPr>
        <w:t xml:space="preserve"> передбачає забезпечення </w:t>
      </w:r>
      <w:r w:rsidR="00245EAD" w:rsidRPr="008E7CC8">
        <w:rPr>
          <w:rFonts w:ascii="Times New Roman" w:hAnsi="Times New Roman"/>
          <w:sz w:val="28"/>
          <w:szCs w:val="28"/>
          <w:lang w:val="uk-UA"/>
        </w:rPr>
        <w:t>автоматизованими</w:t>
      </w:r>
      <w:r w:rsidRPr="008E7CC8">
        <w:rPr>
          <w:rFonts w:ascii="Times New Roman" w:hAnsi="Times New Roman"/>
          <w:sz w:val="28"/>
          <w:szCs w:val="28"/>
          <w:lang w:val="uk-UA"/>
        </w:rPr>
        <w:t xml:space="preserve"> інформаційними система</w:t>
      </w:r>
      <w:r w:rsidR="0049209A">
        <w:rPr>
          <w:rFonts w:ascii="Times New Roman" w:hAnsi="Times New Roman"/>
          <w:sz w:val="28"/>
          <w:szCs w:val="28"/>
          <w:lang w:val="uk-UA"/>
        </w:rPr>
        <w:t>ми</w:t>
      </w:r>
      <w:r w:rsidRPr="008E7CC8">
        <w:rPr>
          <w:rFonts w:ascii="Times New Roman" w:hAnsi="Times New Roman"/>
          <w:sz w:val="28"/>
          <w:szCs w:val="28"/>
          <w:lang w:val="uk-UA"/>
        </w:rPr>
        <w:t xml:space="preserve"> та обмін</w:t>
      </w:r>
      <w:r w:rsidR="0049209A">
        <w:rPr>
          <w:rFonts w:ascii="Times New Roman" w:hAnsi="Times New Roman"/>
          <w:sz w:val="28"/>
          <w:szCs w:val="28"/>
          <w:lang w:val="uk-UA"/>
        </w:rPr>
        <w:t>ом</w:t>
      </w:r>
      <w:r w:rsidRPr="008E7C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209A">
        <w:rPr>
          <w:rFonts w:ascii="Times New Roman" w:hAnsi="Times New Roman"/>
          <w:sz w:val="28"/>
          <w:szCs w:val="28"/>
          <w:lang w:val="uk-UA"/>
        </w:rPr>
        <w:t>інформацією</w:t>
      </w:r>
      <w:r w:rsidRPr="008E7CC8">
        <w:rPr>
          <w:rFonts w:ascii="Times New Roman" w:hAnsi="Times New Roman"/>
          <w:sz w:val="28"/>
          <w:szCs w:val="28"/>
          <w:lang w:val="uk-UA"/>
        </w:rPr>
        <w:t xml:space="preserve">, а також спільне співробітництво у забезпеченні цілей Європейського Союзу щодо протидії шахрайству та виконанню належного фінансового контролю. </w:t>
      </w:r>
    </w:p>
    <w:p w:rsidR="00245EAD" w:rsidRPr="009E6899" w:rsidRDefault="00A2464D" w:rsidP="009E6899">
      <w:pPr>
        <w:spacing w:after="120" w:line="240" w:lineRule="auto"/>
        <w:ind w:left="-426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8E7CC8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Стаття 10 </w:t>
      </w:r>
      <w:r w:rsidRPr="008E7CC8">
        <w:rPr>
          <w:rFonts w:ascii="Times New Roman" w:hAnsi="Times New Roman"/>
          <w:i/>
          <w:sz w:val="28"/>
          <w:szCs w:val="28"/>
          <w:lang w:val="uk-UA" w:eastAsia="uk-UA"/>
        </w:rPr>
        <w:t xml:space="preserve">Регламенту </w:t>
      </w:r>
      <w:r w:rsidRPr="008E7CC8">
        <w:rPr>
          <w:rFonts w:ascii="Times New Roman" w:hAnsi="Times New Roman"/>
          <w:i/>
          <w:sz w:val="28"/>
          <w:szCs w:val="28"/>
          <w:lang w:val="uk-UA"/>
        </w:rPr>
        <w:t>2021/785</w:t>
      </w:r>
      <w:r w:rsidRPr="008E7CC8">
        <w:rPr>
          <w:rFonts w:ascii="Times New Roman" w:hAnsi="Times New Roman"/>
          <w:sz w:val="28"/>
          <w:szCs w:val="28"/>
          <w:lang w:val="uk-UA"/>
        </w:rPr>
        <w:t xml:space="preserve"> встановлює певні вимоги до створення відповідної мережі державних органів та країн, які співпрацюють в рамках </w:t>
      </w:r>
      <w:r w:rsidR="00245EAD" w:rsidRPr="008E7CC8">
        <w:rPr>
          <w:rFonts w:ascii="Times New Roman" w:hAnsi="Times New Roman"/>
          <w:sz w:val="28"/>
          <w:szCs w:val="28"/>
          <w:lang w:val="uk-UA"/>
        </w:rPr>
        <w:t>Програми Європейського Союзу протидії шахрайству</w:t>
      </w:r>
      <w:r w:rsidR="00F44FBF" w:rsidRPr="009E6899">
        <w:rPr>
          <w:rFonts w:ascii="Times New Roman" w:hAnsi="Times New Roman"/>
          <w:sz w:val="28"/>
          <w:szCs w:val="28"/>
          <w:lang w:val="uk-UA"/>
        </w:rPr>
        <w:t>.</w:t>
      </w:r>
    </w:p>
    <w:p w:rsidR="003222F6" w:rsidRPr="009E6899" w:rsidRDefault="003222F6" w:rsidP="009E6899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D53492" w:rsidRPr="009E6899" w:rsidRDefault="00D53492" w:rsidP="009E6899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bookmark2"/>
      <w:r w:rsidRPr="009E6899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4.</w:t>
      </w:r>
      <w:r w:rsidRPr="009E6899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0"/>
    <w:p w:rsidR="00380DEC" w:rsidRPr="009E6899" w:rsidRDefault="00D53492" w:rsidP="009E6899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Pr="009E68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 суперечить</w:t>
      </w:r>
      <w:r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0DEC" w:rsidRPr="009E6899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міжнародно-правовим зобов’язанням України у сфері європейської інтеграції.</w:t>
      </w:r>
    </w:p>
    <w:p w:rsidR="00380DEC" w:rsidRPr="009E6899" w:rsidRDefault="00380DEC" w:rsidP="00082190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9E6899" w:rsidRDefault="00F517EC" w:rsidP="00F272B4">
      <w:pPr>
        <w:spacing w:after="0" w:line="240" w:lineRule="auto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360FF8" w:rsidRPr="009E6899" w:rsidRDefault="00360FF8" w:rsidP="008A3A99">
      <w:pPr>
        <w:spacing w:after="0" w:line="240" w:lineRule="auto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1" w:name="_GoBack"/>
      <w:bookmarkEnd w:id="1"/>
    </w:p>
    <w:sectPr w:rsidR="00360FF8" w:rsidRPr="009E6899" w:rsidSect="00CC2FA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F0B" w:rsidRDefault="00F41F0B" w:rsidP="005E306B">
      <w:pPr>
        <w:spacing w:after="0" w:line="240" w:lineRule="auto"/>
      </w:pPr>
      <w:r>
        <w:separator/>
      </w:r>
    </w:p>
  </w:endnote>
  <w:endnote w:type="continuationSeparator" w:id="0">
    <w:p w:rsidR="00F41F0B" w:rsidRDefault="00F41F0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1558878"/>
      <w:docPartObj>
        <w:docPartGallery w:val="Page Numbers (Bottom of Page)"/>
        <w:docPartUnique/>
      </w:docPartObj>
    </w:sdtPr>
    <w:sdtEndPr/>
    <w:sdtContent>
      <w:p w:rsidR="006F3878" w:rsidRDefault="006F387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A99" w:rsidRPr="008A3A99">
          <w:rPr>
            <w:noProof/>
            <w:lang w:val="uk-UA"/>
          </w:rPr>
          <w:t>2</w:t>
        </w:r>
        <w:r>
          <w:fldChar w:fldCharType="end"/>
        </w:r>
      </w:p>
    </w:sdtContent>
  </w:sdt>
  <w:p w:rsidR="006F3878" w:rsidRDefault="006F38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41F0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F0B" w:rsidRDefault="00F41F0B" w:rsidP="005E306B">
      <w:pPr>
        <w:spacing w:after="0" w:line="240" w:lineRule="auto"/>
      </w:pPr>
      <w:r>
        <w:separator/>
      </w:r>
    </w:p>
  </w:footnote>
  <w:footnote w:type="continuationSeparator" w:id="0">
    <w:p w:rsidR="00F41F0B" w:rsidRDefault="00F41F0B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 xml:space="preserve">Комітет розглянув </w:t>
      </w:r>
      <w:proofErr w:type="spellStart"/>
      <w:r w:rsidRPr="009969AA">
        <w:rPr>
          <w:sz w:val="24"/>
          <w:szCs w:val="24"/>
          <w:lang w:eastAsia="uk-UA"/>
        </w:rPr>
        <w:t>проє</w:t>
      </w:r>
      <w:r w:rsidR="00651D8F">
        <w:rPr>
          <w:sz w:val="24"/>
          <w:szCs w:val="24"/>
          <w:lang w:eastAsia="uk-UA"/>
        </w:rPr>
        <w:t>кт</w:t>
      </w:r>
      <w:proofErr w:type="spellEnd"/>
      <w:r w:rsidR="00651D8F">
        <w:rPr>
          <w:sz w:val="24"/>
          <w:szCs w:val="24"/>
          <w:lang w:eastAsia="uk-UA"/>
        </w:rPr>
        <w:t xml:space="preserve"> Закону на своєму засіданні 9 лютого 2022 року (протокол № 97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54A1F9E"/>
    <w:multiLevelType w:val="hybridMultilevel"/>
    <w:tmpl w:val="423EACC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8D55E0F"/>
    <w:multiLevelType w:val="hybridMultilevel"/>
    <w:tmpl w:val="EC087704"/>
    <w:lvl w:ilvl="0" w:tplc="0422000F">
      <w:start w:val="1"/>
      <w:numFmt w:val="decimal"/>
      <w:lvlText w:val="%1."/>
      <w:lvlJc w:val="left"/>
      <w:pPr>
        <w:ind w:left="294" w:hanging="360"/>
      </w:p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CE8078A"/>
    <w:multiLevelType w:val="hybridMultilevel"/>
    <w:tmpl w:val="F55A12F0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75B"/>
    <w:rsid w:val="000163C3"/>
    <w:rsid w:val="00082190"/>
    <w:rsid w:val="000F1586"/>
    <w:rsid w:val="000F175D"/>
    <w:rsid w:val="001005C8"/>
    <w:rsid w:val="00110664"/>
    <w:rsid w:val="00141617"/>
    <w:rsid w:val="00164372"/>
    <w:rsid w:val="00166FFA"/>
    <w:rsid w:val="001804EB"/>
    <w:rsid w:val="00187AF7"/>
    <w:rsid w:val="001903A2"/>
    <w:rsid w:val="0019108F"/>
    <w:rsid w:val="0019322A"/>
    <w:rsid w:val="001966F0"/>
    <w:rsid w:val="001C6FC9"/>
    <w:rsid w:val="001D3C24"/>
    <w:rsid w:val="001D6464"/>
    <w:rsid w:val="001E238F"/>
    <w:rsid w:val="001E2C27"/>
    <w:rsid w:val="001F0E78"/>
    <w:rsid w:val="001F6A06"/>
    <w:rsid w:val="0021032F"/>
    <w:rsid w:val="002247E9"/>
    <w:rsid w:val="00235CD7"/>
    <w:rsid w:val="00236343"/>
    <w:rsid w:val="00245EAD"/>
    <w:rsid w:val="0025675B"/>
    <w:rsid w:val="0026409B"/>
    <w:rsid w:val="00267C5F"/>
    <w:rsid w:val="00285E5E"/>
    <w:rsid w:val="0029788E"/>
    <w:rsid w:val="002A2BB6"/>
    <w:rsid w:val="002A5D4C"/>
    <w:rsid w:val="002B5FC1"/>
    <w:rsid w:val="002C276F"/>
    <w:rsid w:val="002D0561"/>
    <w:rsid w:val="002E0A18"/>
    <w:rsid w:val="002E31BF"/>
    <w:rsid w:val="002E44DA"/>
    <w:rsid w:val="00317BB0"/>
    <w:rsid w:val="003222F6"/>
    <w:rsid w:val="00342CDE"/>
    <w:rsid w:val="003433B4"/>
    <w:rsid w:val="00347D89"/>
    <w:rsid w:val="00360FF8"/>
    <w:rsid w:val="00363436"/>
    <w:rsid w:val="003704DC"/>
    <w:rsid w:val="003761DE"/>
    <w:rsid w:val="00380DEC"/>
    <w:rsid w:val="003D0996"/>
    <w:rsid w:val="003D14B2"/>
    <w:rsid w:val="003D1CBA"/>
    <w:rsid w:val="003E44B4"/>
    <w:rsid w:val="004111CE"/>
    <w:rsid w:val="00412CB7"/>
    <w:rsid w:val="00422F03"/>
    <w:rsid w:val="00424B1C"/>
    <w:rsid w:val="004253F3"/>
    <w:rsid w:val="0043132E"/>
    <w:rsid w:val="00437A69"/>
    <w:rsid w:val="00451750"/>
    <w:rsid w:val="004852FA"/>
    <w:rsid w:val="0049209A"/>
    <w:rsid w:val="004C53C1"/>
    <w:rsid w:val="004E4F5C"/>
    <w:rsid w:val="004F6A56"/>
    <w:rsid w:val="004F7B8A"/>
    <w:rsid w:val="00501B10"/>
    <w:rsid w:val="0050620F"/>
    <w:rsid w:val="0051601C"/>
    <w:rsid w:val="00545919"/>
    <w:rsid w:val="0055005A"/>
    <w:rsid w:val="0056039F"/>
    <w:rsid w:val="0056352F"/>
    <w:rsid w:val="00585620"/>
    <w:rsid w:val="00586108"/>
    <w:rsid w:val="005A4728"/>
    <w:rsid w:val="005B71F5"/>
    <w:rsid w:val="005C1C39"/>
    <w:rsid w:val="005C674D"/>
    <w:rsid w:val="005E19FC"/>
    <w:rsid w:val="005E306B"/>
    <w:rsid w:val="005E4898"/>
    <w:rsid w:val="005F20B5"/>
    <w:rsid w:val="00625841"/>
    <w:rsid w:val="00626A3E"/>
    <w:rsid w:val="006307D8"/>
    <w:rsid w:val="00651D8F"/>
    <w:rsid w:val="00653DE3"/>
    <w:rsid w:val="00660B13"/>
    <w:rsid w:val="006629F8"/>
    <w:rsid w:val="0066623D"/>
    <w:rsid w:val="00687E94"/>
    <w:rsid w:val="006C55B6"/>
    <w:rsid w:val="006C744E"/>
    <w:rsid w:val="006C7F77"/>
    <w:rsid w:val="006F10E8"/>
    <w:rsid w:val="006F3806"/>
    <w:rsid w:val="006F3878"/>
    <w:rsid w:val="00713E93"/>
    <w:rsid w:val="007204E1"/>
    <w:rsid w:val="00720A49"/>
    <w:rsid w:val="0073224C"/>
    <w:rsid w:val="0075720E"/>
    <w:rsid w:val="007A0252"/>
    <w:rsid w:val="007B465F"/>
    <w:rsid w:val="007C1D27"/>
    <w:rsid w:val="007F5D91"/>
    <w:rsid w:val="008015D5"/>
    <w:rsid w:val="0080545D"/>
    <w:rsid w:val="0084269F"/>
    <w:rsid w:val="00873E59"/>
    <w:rsid w:val="00876D1F"/>
    <w:rsid w:val="00881657"/>
    <w:rsid w:val="00897B1B"/>
    <w:rsid w:val="008A3A99"/>
    <w:rsid w:val="008B7F7F"/>
    <w:rsid w:val="008C4918"/>
    <w:rsid w:val="008E7CC8"/>
    <w:rsid w:val="009035C0"/>
    <w:rsid w:val="00917F24"/>
    <w:rsid w:val="00942E39"/>
    <w:rsid w:val="00943E02"/>
    <w:rsid w:val="00945B68"/>
    <w:rsid w:val="00957D31"/>
    <w:rsid w:val="00972883"/>
    <w:rsid w:val="009865D4"/>
    <w:rsid w:val="009A720A"/>
    <w:rsid w:val="009A75E9"/>
    <w:rsid w:val="009E5F68"/>
    <w:rsid w:val="009E6899"/>
    <w:rsid w:val="00A00059"/>
    <w:rsid w:val="00A017DB"/>
    <w:rsid w:val="00A2464D"/>
    <w:rsid w:val="00A5290D"/>
    <w:rsid w:val="00A60747"/>
    <w:rsid w:val="00A610A8"/>
    <w:rsid w:val="00A62042"/>
    <w:rsid w:val="00A7635E"/>
    <w:rsid w:val="00A76A60"/>
    <w:rsid w:val="00A7782C"/>
    <w:rsid w:val="00A833C8"/>
    <w:rsid w:val="00AA0AC9"/>
    <w:rsid w:val="00AC4ABF"/>
    <w:rsid w:val="00AD7F82"/>
    <w:rsid w:val="00B311E8"/>
    <w:rsid w:val="00B55DE0"/>
    <w:rsid w:val="00B6717E"/>
    <w:rsid w:val="00B67B1A"/>
    <w:rsid w:val="00B809F6"/>
    <w:rsid w:val="00B829B7"/>
    <w:rsid w:val="00BB1827"/>
    <w:rsid w:val="00BD0801"/>
    <w:rsid w:val="00BF1E95"/>
    <w:rsid w:val="00C11FB6"/>
    <w:rsid w:val="00C25388"/>
    <w:rsid w:val="00C27AE9"/>
    <w:rsid w:val="00C44D75"/>
    <w:rsid w:val="00C86266"/>
    <w:rsid w:val="00CA7044"/>
    <w:rsid w:val="00CB69B6"/>
    <w:rsid w:val="00CC2FA6"/>
    <w:rsid w:val="00CC39A1"/>
    <w:rsid w:val="00CD4A38"/>
    <w:rsid w:val="00CE3E1B"/>
    <w:rsid w:val="00CE6A4B"/>
    <w:rsid w:val="00CF6ACA"/>
    <w:rsid w:val="00D00713"/>
    <w:rsid w:val="00D10F4B"/>
    <w:rsid w:val="00D160BF"/>
    <w:rsid w:val="00D2186F"/>
    <w:rsid w:val="00D22048"/>
    <w:rsid w:val="00D242C2"/>
    <w:rsid w:val="00D37FA2"/>
    <w:rsid w:val="00D46BD6"/>
    <w:rsid w:val="00D524A0"/>
    <w:rsid w:val="00D52549"/>
    <w:rsid w:val="00D53492"/>
    <w:rsid w:val="00D56455"/>
    <w:rsid w:val="00D57E1B"/>
    <w:rsid w:val="00D604FD"/>
    <w:rsid w:val="00D83918"/>
    <w:rsid w:val="00D91A4F"/>
    <w:rsid w:val="00DF0115"/>
    <w:rsid w:val="00E3142C"/>
    <w:rsid w:val="00E60B07"/>
    <w:rsid w:val="00E73887"/>
    <w:rsid w:val="00E85C22"/>
    <w:rsid w:val="00E870BB"/>
    <w:rsid w:val="00E9438E"/>
    <w:rsid w:val="00F272B4"/>
    <w:rsid w:val="00F33CBD"/>
    <w:rsid w:val="00F34192"/>
    <w:rsid w:val="00F41F0B"/>
    <w:rsid w:val="00F44FBF"/>
    <w:rsid w:val="00F47FE1"/>
    <w:rsid w:val="00F517EC"/>
    <w:rsid w:val="00F55423"/>
    <w:rsid w:val="00F61157"/>
    <w:rsid w:val="00F85D51"/>
    <w:rsid w:val="00F91DD3"/>
    <w:rsid w:val="00F97400"/>
    <w:rsid w:val="00FA53E5"/>
    <w:rsid w:val="00FC3DF4"/>
    <w:rsid w:val="00FF3963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2781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a0"/>
    <w:rsid w:val="005E19FC"/>
  </w:style>
  <w:style w:type="paragraph" w:styleId="ae">
    <w:name w:val="List Paragraph"/>
    <w:basedOn w:val="a"/>
    <w:uiPriority w:val="34"/>
    <w:qFormat/>
    <w:rsid w:val="0025675B"/>
    <w:pPr>
      <w:ind w:left="720"/>
      <w:contextualSpacing/>
    </w:pPr>
  </w:style>
  <w:style w:type="paragraph" w:customStyle="1" w:styleId="oj-normal">
    <w:name w:val="oj-normal"/>
    <w:basedOn w:val="a"/>
    <w:rsid w:val="00A2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f">
    <w:name w:val="Normal (Web)"/>
    <w:basedOn w:val="a"/>
    <w:uiPriority w:val="99"/>
    <w:semiHidden/>
    <w:unhideWhenUsed/>
    <w:rsid w:val="00A2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f0">
    <w:name w:val="Emphasis"/>
    <w:basedOn w:val="a0"/>
    <w:uiPriority w:val="20"/>
    <w:qFormat/>
    <w:locked/>
    <w:rsid w:val="00A246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8C1737-FB18-4A7B-8DBE-FABA97CA0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2819</Words>
  <Characters>1607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86</cp:revision>
  <cp:lastPrinted>2022-02-01T14:19:00Z</cp:lastPrinted>
  <dcterms:created xsi:type="dcterms:W3CDTF">2022-01-13T13:11:00Z</dcterms:created>
  <dcterms:modified xsi:type="dcterms:W3CDTF">2022-02-09T11:22:00Z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