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502B" w:rsidRDefault="00842B2B">
      <w:pPr>
        <w:spacing w:after="0" w:line="240" w:lineRule="auto"/>
        <w:contextualSpacing/>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Порівняльна таблиця</w:t>
      </w:r>
    </w:p>
    <w:p w:rsidR="000B502B" w:rsidRDefault="00842B2B">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до проекту Закону України</w:t>
      </w:r>
    </w:p>
    <w:p w:rsidR="000B502B" w:rsidRDefault="00842B2B">
      <w:pPr>
        <w:spacing w:after="0" w:line="240" w:lineRule="auto"/>
        <w:contextualSpacing/>
        <w:jc w:val="center"/>
        <w:rPr>
          <w:rFonts w:ascii="Times New Roman" w:eastAsia="Times New Roman" w:hAnsi="Times New Roman" w:cs="Times New Roman"/>
          <w:b/>
          <w:sz w:val="28"/>
          <w:szCs w:val="28"/>
        </w:rPr>
      </w:pPr>
      <w:r>
        <w:rPr>
          <w:rFonts w:ascii="Times New Roman" w:hAnsi="Times New Roman" w:cs="Times New Roman"/>
          <w:b/>
          <w:sz w:val="28"/>
          <w:szCs w:val="28"/>
        </w:rPr>
        <w:t>«Про внесення змін до Податкового кодексу України та інших законів України щодо адміністрування акцизного податку</w:t>
      </w:r>
      <w:r>
        <w:rPr>
          <w:rFonts w:ascii="Times New Roman" w:eastAsia="Times New Roman" w:hAnsi="Times New Roman" w:cs="Times New Roman"/>
          <w:b/>
          <w:sz w:val="28"/>
          <w:szCs w:val="28"/>
        </w:rPr>
        <w:t>»</w:t>
      </w:r>
    </w:p>
    <w:p w:rsidR="000B502B" w:rsidRDefault="000B502B">
      <w:pPr>
        <w:spacing w:after="0" w:line="240" w:lineRule="auto"/>
        <w:contextualSpacing/>
        <w:jc w:val="center"/>
        <w:rPr>
          <w:rFonts w:ascii="Times New Roman" w:eastAsia="Times New Roman" w:hAnsi="Times New Roman" w:cs="Times New Roman"/>
          <w:sz w:val="28"/>
          <w:szCs w:val="28"/>
        </w:rPr>
      </w:pPr>
    </w:p>
    <w:tbl>
      <w:tblPr>
        <w:tblStyle w:val="ac"/>
        <w:tblW w:w="15134" w:type="dxa"/>
        <w:tblLook w:val="04A0" w:firstRow="1" w:lastRow="0" w:firstColumn="1" w:lastColumn="0" w:noHBand="0" w:noVBand="1"/>
      </w:tblPr>
      <w:tblGrid>
        <w:gridCol w:w="7479"/>
        <w:gridCol w:w="7655"/>
      </w:tblGrid>
      <w:tr w:rsidR="000B502B">
        <w:tc>
          <w:tcPr>
            <w:tcW w:w="7479" w:type="dxa"/>
          </w:tcPr>
          <w:p w:rsidR="000B502B" w:rsidRDefault="00842B2B">
            <w:pPr>
              <w:spacing w:after="0" w:line="240" w:lineRule="auto"/>
              <w:jc w:val="center"/>
              <w:rPr>
                <w:rFonts w:ascii="Times New Roman" w:hAnsi="Times New Roman" w:cs="Times New Roman"/>
                <w:b/>
                <w:sz w:val="24"/>
                <w:szCs w:val="24"/>
                <w:lang w:val="ru-RU"/>
              </w:rPr>
            </w:pPr>
            <w:r>
              <w:rPr>
                <w:rFonts w:ascii="Times New Roman" w:hAnsi="Times New Roman" w:cs="Times New Roman"/>
                <w:b/>
                <w:sz w:val="24"/>
                <w:szCs w:val="24"/>
                <w:lang w:eastAsia="uk-UA"/>
              </w:rPr>
              <w:t xml:space="preserve">Зміст положення </w:t>
            </w:r>
            <w:proofErr w:type="spellStart"/>
            <w:r>
              <w:rPr>
                <w:rFonts w:ascii="Times New Roman" w:hAnsi="Times New Roman" w:cs="Times New Roman"/>
                <w:b/>
                <w:sz w:val="24"/>
                <w:szCs w:val="24"/>
                <w:lang w:eastAsia="uk-UA"/>
              </w:rPr>
              <w:t>акта</w:t>
            </w:r>
            <w:proofErr w:type="spellEnd"/>
            <w:r>
              <w:rPr>
                <w:rFonts w:ascii="Times New Roman" w:hAnsi="Times New Roman" w:cs="Times New Roman"/>
                <w:b/>
                <w:sz w:val="24"/>
                <w:szCs w:val="24"/>
                <w:lang w:eastAsia="uk-UA"/>
              </w:rPr>
              <w:t xml:space="preserve"> законодавства</w:t>
            </w:r>
          </w:p>
        </w:tc>
        <w:tc>
          <w:tcPr>
            <w:tcW w:w="7655" w:type="dxa"/>
          </w:tcPr>
          <w:p w:rsidR="000B502B" w:rsidRDefault="00842B2B">
            <w:pPr>
              <w:spacing w:after="0" w:line="240" w:lineRule="auto"/>
              <w:jc w:val="center"/>
              <w:rPr>
                <w:rFonts w:ascii="Times New Roman" w:hAnsi="Times New Roman" w:cs="Times New Roman"/>
                <w:b/>
                <w:sz w:val="24"/>
                <w:szCs w:val="24"/>
                <w:lang w:val="ru-RU"/>
              </w:rPr>
            </w:pPr>
            <w:r>
              <w:rPr>
                <w:rFonts w:ascii="Times New Roman" w:hAnsi="Times New Roman" w:cs="Times New Roman"/>
                <w:b/>
                <w:sz w:val="24"/>
                <w:szCs w:val="24"/>
                <w:lang w:eastAsia="uk-UA"/>
              </w:rPr>
              <w:t xml:space="preserve">Зміст відповідного положення проекту </w:t>
            </w:r>
            <w:proofErr w:type="spellStart"/>
            <w:r>
              <w:rPr>
                <w:rFonts w:ascii="Times New Roman" w:hAnsi="Times New Roman" w:cs="Times New Roman"/>
                <w:b/>
                <w:sz w:val="24"/>
                <w:szCs w:val="24"/>
                <w:lang w:eastAsia="uk-UA"/>
              </w:rPr>
              <w:t>акта</w:t>
            </w:r>
            <w:proofErr w:type="spellEnd"/>
          </w:p>
        </w:tc>
      </w:tr>
      <w:tr w:rsidR="000B502B">
        <w:tc>
          <w:tcPr>
            <w:tcW w:w="15134" w:type="dxa"/>
            <w:gridSpan w:val="2"/>
          </w:tcPr>
          <w:p w:rsidR="000B502B" w:rsidRDefault="00842B2B">
            <w:pPr>
              <w:pStyle w:val="3"/>
              <w:spacing w:before="0" w:beforeAutospacing="0" w:after="0" w:afterAutospacing="0"/>
              <w:jc w:val="center"/>
              <w:rPr>
                <w:rFonts w:eastAsia="Times New Roman"/>
                <w:sz w:val="24"/>
                <w:szCs w:val="24"/>
              </w:rPr>
            </w:pPr>
            <w:r>
              <w:rPr>
                <w:rFonts w:eastAsia="Times New Roman"/>
                <w:sz w:val="24"/>
                <w:szCs w:val="24"/>
              </w:rPr>
              <w:t>Податковий кодекс України</w:t>
            </w:r>
          </w:p>
        </w:tc>
      </w:tr>
      <w:tr w:rsidR="000B502B">
        <w:tc>
          <w:tcPr>
            <w:tcW w:w="7479" w:type="dxa"/>
          </w:tcPr>
          <w:p w:rsidR="000B502B" w:rsidRDefault="00842B2B">
            <w:pPr>
              <w:pStyle w:val="3"/>
              <w:spacing w:before="0" w:beforeAutospacing="0" w:after="0" w:afterAutospacing="0"/>
              <w:jc w:val="both"/>
              <w:rPr>
                <w:rFonts w:eastAsia="Times New Roman"/>
                <w:b w:val="0"/>
                <w:sz w:val="24"/>
                <w:szCs w:val="24"/>
              </w:rPr>
            </w:pPr>
            <w:r>
              <w:rPr>
                <w:rFonts w:eastAsia="Times New Roman"/>
                <w:b w:val="0"/>
                <w:sz w:val="24"/>
                <w:szCs w:val="24"/>
              </w:rPr>
              <w:t>РОЗДІЛ I. ЗАГАЛЬНІ ПОЛОЖЕННЯ</w:t>
            </w:r>
          </w:p>
        </w:tc>
        <w:tc>
          <w:tcPr>
            <w:tcW w:w="7655" w:type="dxa"/>
          </w:tcPr>
          <w:p w:rsidR="000B502B" w:rsidRDefault="00842B2B">
            <w:pPr>
              <w:pStyle w:val="3"/>
              <w:spacing w:before="0" w:beforeAutospacing="0" w:after="0" w:afterAutospacing="0"/>
              <w:jc w:val="both"/>
              <w:rPr>
                <w:rFonts w:eastAsia="Times New Roman"/>
                <w:b w:val="0"/>
                <w:sz w:val="24"/>
                <w:szCs w:val="24"/>
              </w:rPr>
            </w:pPr>
            <w:r>
              <w:rPr>
                <w:rFonts w:eastAsia="Times New Roman"/>
                <w:b w:val="0"/>
                <w:sz w:val="24"/>
                <w:szCs w:val="24"/>
              </w:rPr>
              <w:t>РОЗДІЛ I. ЗАГАЛЬНІ ПОЛОЖЕННЯ</w:t>
            </w:r>
          </w:p>
        </w:tc>
      </w:tr>
      <w:tr w:rsidR="000B502B">
        <w:tc>
          <w:tcPr>
            <w:tcW w:w="7479" w:type="dxa"/>
          </w:tcPr>
          <w:p w:rsidR="000B502B" w:rsidRDefault="00842B2B">
            <w:pPr>
              <w:pStyle w:val="3"/>
              <w:spacing w:before="0" w:beforeAutospacing="0" w:after="0" w:afterAutospacing="0"/>
              <w:jc w:val="both"/>
              <w:rPr>
                <w:rFonts w:eastAsia="Times New Roman"/>
                <w:b w:val="0"/>
                <w:sz w:val="24"/>
                <w:szCs w:val="24"/>
              </w:rPr>
            </w:pPr>
            <w:r>
              <w:rPr>
                <w:rFonts w:eastAsia="Times New Roman"/>
                <w:b w:val="0"/>
                <w:sz w:val="24"/>
                <w:szCs w:val="24"/>
              </w:rPr>
              <w:t>Стаття 14. Визначення понять</w:t>
            </w:r>
          </w:p>
        </w:tc>
        <w:tc>
          <w:tcPr>
            <w:tcW w:w="7655" w:type="dxa"/>
          </w:tcPr>
          <w:p w:rsidR="000B502B" w:rsidRDefault="00842B2B">
            <w:pPr>
              <w:pStyle w:val="3"/>
              <w:spacing w:before="0" w:beforeAutospacing="0" w:after="0" w:afterAutospacing="0"/>
              <w:jc w:val="both"/>
              <w:rPr>
                <w:rFonts w:eastAsia="Times New Roman"/>
                <w:b w:val="0"/>
                <w:sz w:val="24"/>
                <w:szCs w:val="24"/>
              </w:rPr>
            </w:pPr>
            <w:r>
              <w:rPr>
                <w:rFonts w:eastAsia="Times New Roman"/>
                <w:b w:val="0"/>
                <w:sz w:val="24"/>
                <w:szCs w:val="24"/>
              </w:rPr>
              <w:t>Стаття 14. Визначення понять</w:t>
            </w:r>
          </w:p>
        </w:tc>
      </w:tr>
      <w:tr w:rsidR="000B502B">
        <w:tc>
          <w:tcPr>
            <w:tcW w:w="7479" w:type="dxa"/>
          </w:tcPr>
          <w:p w:rsidR="000B502B" w:rsidRDefault="00842B2B">
            <w:pPr>
              <w:pStyle w:val="3"/>
              <w:spacing w:before="0" w:beforeAutospacing="0" w:after="0" w:afterAutospacing="0"/>
              <w:jc w:val="both"/>
              <w:rPr>
                <w:rFonts w:eastAsia="Times New Roman"/>
                <w:b w:val="0"/>
                <w:sz w:val="24"/>
                <w:szCs w:val="24"/>
              </w:rPr>
            </w:pPr>
            <w:r>
              <w:rPr>
                <w:b w:val="0"/>
                <w:sz w:val="24"/>
                <w:szCs w:val="24"/>
              </w:rPr>
              <w:t>14.1. У цьому Кодексі поняття вживаються в такому значенні:</w:t>
            </w:r>
          </w:p>
        </w:tc>
        <w:tc>
          <w:tcPr>
            <w:tcW w:w="7655" w:type="dxa"/>
          </w:tcPr>
          <w:p w:rsidR="000B502B" w:rsidRDefault="00842B2B">
            <w:pPr>
              <w:pStyle w:val="3"/>
              <w:spacing w:before="0" w:beforeAutospacing="0" w:after="0" w:afterAutospacing="0"/>
              <w:jc w:val="both"/>
              <w:rPr>
                <w:rFonts w:eastAsia="Times New Roman"/>
                <w:b w:val="0"/>
                <w:sz w:val="24"/>
                <w:szCs w:val="24"/>
              </w:rPr>
            </w:pPr>
            <w:r>
              <w:rPr>
                <w:b w:val="0"/>
                <w:sz w:val="24"/>
                <w:szCs w:val="24"/>
              </w:rPr>
              <w:t>14.1. У цьому Кодексі поняття вживаються в такому значенні:</w:t>
            </w:r>
          </w:p>
        </w:tc>
      </w:tr>
      <w:tr w:rsidR="000B502B">
        <w:tc>
          <w:tcPr>
            <w:tcW w:w="7479" w:type="dxa"/>
          </w:tcPr>
          <w:p w:rsidR="000B502B" w:rsidRDefault="00842B2B">
            <w:pPr>
              <w:pStyle w:val="3"/>
              <w:spacing w:before="0" w:beforeAutospacing="0" w:after="0" w:afterAutospacing="0"/>
              <w:jc w:val="both"/>
              <w:rPr>
                <w:rFonts w:eastAsia="Times New Roman"/>
                <w:sz w:val="24"/>
                <w:szCs w:val="24"/>
              </w:rPr>
            </w:pPr>
            <w:r>
              <w:rPr>
                <w:rFonts w:eastAsia="Times New Roman"/>
                <w:sz w:val="24"/>
                <w:szCs w:val="24"/>
              </w:rPr>
              <w:t>Норма відсутня</w:t>
            </w:r>
          </w:p>
        </w:tc>
        <w:tc>
          <w:tcPr>
            <w:tcW w:w="7655" w:type="dxa"/>
          </w:tcPr>
          <w:p w:rsidR="000B502B" w:rsidRDefault="00842B2B">
            <w:pPr>
              <w:pStyle w:val="3"/>
              <w:spacing w:before="0" w:beforeAutospacing="0" w:after="0" w:afterAutospacing="0"/>
              <w:jc w:val="both"/>
              <w:rPr>
                <w:rFonts w:eastAsia="Times New Roman"/>
                <w:b w:val="0"/>
                <w:sz w:val="24"/>
                <w:szCs w:val="24"/>
              </w:rPr>
            </w:pPr>
            <w:r>
              <w:rPr>
                <w:rFonts w:eastAsia="Times New Roman"/>
                <w:sz w:val="24"/>
                <w:szCs w:val="24"/>
              </w:rPr>
              <w:t>14.1.229</w:t>
            </w:r>
            <w:r>
              <w:rPr>
                <w:rFonts w:eastAsia="Times New Roman"/>
                <w:sz w:val="24"/>
                <w:szCs w:val="24"/>
                <w:vertAlign w:val="superscript"/>
              </w:rPr>
              <w:t xml:space="preserve">1 </w:t>
            </w:r>
            <w:r>
              <w:rPr>
                <w:rFonts w:eastAsia="Times New Roman"/>
                <w:sz w:val="24"/>
                <w:szCs w:val="24"/>
              </w:rPr>
              <w:t xml:space="preserve">споживча тара для цілей розділу </w:t>
            </w:r>
            <w:r>
              <w:rPr>
                <w:sz w:val="24"/>
                <w:szCs w:val="24"/>
                <w:lang w:val="en-US"/>
              </w:rPr>
              <w:t>VI</w:t>
            </w:r>
            <w:r>
              <w:rPr>
                <w:sz w:val="24"/>
                <w:szCs w:val="24"/>
                <w:lang w:val="ru-RU"/>
              </w:rPr>
              <w:t xml:space="preserve"> </w:t>
            </w:r>
            <w:r>
              <w:rPr>
                <w:rFonts w:eastAsia="Times New Roman"/>
                <w:sz w:val="24"/>
                <w:szCs w:val="24"/>
              </w:rPr>
              <w:t>цього</w:t>
            </w:r>
            <w:r>
              <w:rPr>
                <w:sz w:val="24"/>
                <w:szCs w:val="24"/>
                <w:lang w:val="ru-RU"/>
              </w:rPr>
              <w:t xml:space="preserve"> Кодексу</w:t>
            </w:r>
            <w:r>
              <w:rPr>
                <w:rFonts w:eastAsia="Times New Roman"/>
                <w:sz w:val="24"/>
                <w:szCs w:val="24"/>
              </w:rPr>
              <w:t xml:space="preserve"> – тара, яка є невід</w:t>
            </w:r>
            <w:r>
              <w:rPr>
                <w:rFonts w:eastAsia="Times New Roman"/>
                <w:sz w:val="24"/>
                <w:szCs w:val="24"/>
                <w:lang w:val="ru-RU"/>
              </w:rPr>
              <w:t>’</w:t>
            </w:r>
            <w:r>
              <w:rPr>
                <w:rFonts w:eastAsia="Times New Roman"/>
                <w:sz w:val="24"/>
                <w:szCs w:val="24"/>
              </w:rPr>
              <w:t>ємною частиною товару (продукції) та включена до ціни такого товару (продукції)</w:t>
            </w:r>
            <w:r>
              <w:rPr>
                <w:rFonts w:eastAsia="Times New Roman"/>
                <w:b w:val="0"/>
                <w:sz w:val="24"/>
                <w:szCs w:val="24"/>
              </w:rPr>
              <w:t xml:space="preserve"> </w:t>
            </w:r>
            <w:r>
              <w:rPr>
                <w:sz w:val="24"/>
                <w:szCs w:val="24"/>
                <w:shd w:val="clear" w:color="auto" w:fill="FFFFFF"/>
              </w:rPr>
              <w:t>ємністю</w:t>
            </w:r>
            <w:r>
              <w:rPr>
                <w:rFonts w:eastAsia="Times New Roman"/>
                <w:sz w:val="24"/>
                <w:szCs w:val="24"/>
              </w:rPr>
              <w:t xml:space="preserve"> до 5 л (включно</w:t>
            </w:r>
            <w:r>
              <w:rPr>
                <w:sz w:val="24"/>
                <w:szCs w:val="24"/>
                <w:shd w:val="clear" w:color="auto" w:fill="FFFFFF"/>
              </w:rPr>
              <w:t>)</w:t>
            </w:r>
          </w:p>
        </w:tc>
      </w:tr>
      <w:tr w:rsidR="000B502B">
        <w:tc>
          <w:tcPr>
            <w:tcW w:w="7479" w:type="dxa"/>
          </w:tcPr>
          <w:p w:rsidR="000B502B" w:rsidRDefault="00842B2B">
            <w:pPr>
              <w:pStyle w:val="3"/>
              <w:spacing w:before="0" w:beforeAutospacing="0" w:after="0" w:afterAutospacing="0"/>
              <w:jc w:val="both"/>
              <w:rPr>
                <w:b w:val="0"/>
                <w:sz w:val="24"/>
                <w:szCs w:val="24"/>
              </w:rPr>
            </w:pPr>
            <w:r>
              <w:rPr>
                <w:rFonts w:eastAsia="Times New Roman"/>
                <w:b w:val="0"/>
                <w:sz w:val="24"/>
                <w:szCs w:val="24"/>
              </w:rPr>
              <w:t xml:space="preserve">РОЗДІЛ VI. АКЦИЗНИЙ ПОДАТОК </w:t>
            </w:r>
          </w:p>
        </w:tc>
        <w:tc>
          <w:tcPr>
            <w:tcW w:w="7655" w:type="dxa"/>
          </w:tcPr>
          <w:p w:rsidR="000B502B" w:rsidRDefault="00842B2B">
            <w:pPr>
              <w:pStyle w:val="3"/>
              <w:spacing w:before="0" w:beforeAutospacing="0" w:after="0" w:afterAutospacing="0"/>
              <w:jc w:val="both"/>
              <w:rPr>
                <w:b w:val="0"/>
                <w:sz w:val="24"/>
                <w:szCs w:val="24"/>
              </w:rPr>
            </w:pPr>
            <w:r>
              <w:rPr>
                <w:rFonts w:eastAsia="Times New Roman"/>
                <w:b w:val="0"/>
                <w:sz w:val="24"/>
                <w:szCs w:val="24"/>
              </w:rPr>
              <w:t xml:space="preserve">РОЗДІЛ VI. АКЦИЗНИЙ ПОДАТОК </w:t>
            </w:r>
          </w:p>
        </w:tc>
      </w:tr>
      <w:tr w:rsidR="000B502B">
        <w:tc>
          <w:tcPr>
            <w:tcW w:w="7479" w:type="dxa"/>
          </w:tcPr>
          <w:p w:rsidR="000B502B" w:rsidRDefault="00842B2B">
            <w:pPr>
              <w:pStyle w:val="3"/>
              <w:spacing w:before="0" w:beforeAutospacing="0" w:after="0" w:afterAutospacing="0"/>
              <w:jc w:val="both"/>
              <w:rPr>
                <w:b w:val="0"/>
                <w:sz w:val="24"/>
                <w:szCs w:val="24"/>
              </w:rPr>
            </w:pPr>
            <w:r>
              <w:rPr>
                <w:rFonts w:eastAsia="Times New Roman"/>
                <w:b w:val="0"/>
                <w:sz w:val="24"/>
                <w:szCs w:val="24"/>
              </w:rPr>
              <w:t>Стаття 215. Підакцизні товари та ставки податку</w:t>
            </w:r>
          </w:p>
        </w:tc>
        <w:tc>
          <w:tcPr>
            <w:tcW w:w="7655" w:type="dxa"/>
          </w:tcPr>
          <w:p w:rsidR="000B502B" w:rsidRDefault="00842B2B">
            <w:pPr>
              <w:pStyle w:val="3"/>
              <w:spacing w:before="0" w:beforeAutospacing="0" w:after="0" w:afterAutospacing="0"/>
              <w:jc w:val="both"/>
              <w:rPr>
                <w:b w:val="0"/>
                <w:sz w:val="24"/>
                <w:szCs w:val="24"/>
              </w:rPr>
            </w:pPr>
            <w:r>
              <w:rPr>
                <w:rFonts w:eastAsia="Times New Roman"/>
                <w:b w:val="0"/>
                <w:sz w:val="24"/>
                <w:szCs w:val="24"/>
              </w:rPr>
              <w:t xml:space="preserve">Стаття 215. Підакцизні товари та ставки податку </w:t>
            </w:r>
          </w:p>
        </w:tc>
      </w:tr>
      <w:tr w:rsidR="000B502B">
        <w:tc>
          <w:tcPr>
            <w:tcW w:w="7479" w:type="dxa"/>
          </w:tcPr>
          <w:p w:rsidR="000B502B" w:rsidRDefault="00842B2B">
            <w:pPr>
              <w:pStyle w:val="aa"/>
              <w:spacing w:before="0" w:beforeAutospacing="0" w:after="0" w:afterAutospacing="0"/>
              <w:jc w:val="both"/>
            </w:pPr>
            <w:r>
              <w:t xml:space="preserve">215.1. До підакцизних товарів належать: </w:t>
            </w:r>
          </w:p>
          <w:p w:rsidR="000B502B" w:rsidRDefault="00842B2B">
            <w:pPr>
              <w:pStyle w:val="aa"/>
              <w:spacing w:before="0" w:beforeAutospacing="0" w:after="0" w:afterAutospacing="0"/>
              <w:jc w:val="both"/>
            </w:pPr>
            <w:r>
              <w:t xml:space="preserve">спирт етиловий та інші спиртові дистиляти, алкогольні напої, пиво (крім квасу «живого» бродіння); </w:t>
            </w:r>
          </w:p>
          <w:p w:rsidR="000B502B" w:rsidRDefault="00842B2B">
            <w:pPr>
              <w:pStyle w:val="aa"/>
              <w:spacing w:before="0" w:beforeAutospacing="0" w:after="0" w:afterAutospacing="0"/>
              <w:jc w:val="both"/>
            </w:pPr>
            <w:r>
              <w:t xml:space="preserve">тютюнові вироби, тютюн та промислові замінники тютюну; </w:t>
            </w:r>
          </w:p>
          <w:p w:rsidR="000B502B" w:rsidRDefault="00842B2B">
            <w:pPr>
              <w:pStyle w:val="aa"/>
              <w:spacing w:before="0" w:beforeAutospacing="0" w:after="0" w:afterAutospacing="0"/>
              <w:jc w:val="both"/>
            </w:pPr>
            <w:r>
              <w:t>рідини, що використовуються в електронних сигаретах;</w:t>
            </w:r>
          </w:p>
          <w:p w:rsidR="000B502B" w:rsidRDefault="00842B2B">
            <w:pPr>
              <w:pStyle w:val="aa"/>
              <w:spacing w:before="0" w:beforeAutospacing="0" w:after="0" w:afterAutospacing="0"/>
              <w:jc w:val="both"/>
            </w:pPr>
            <w:r>
              <w:t xml:space="preserve">пальне, у тому числі товари (продукція), що використовуються як пальне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w:t>
            </w:r>
            <w:proofErr w:type="spellStart"/>
            <w:r>
              <w:t>кривошипно</w:t>
            </w:r>
            <w:proofErr w:type="spellEnd"/>
            <w:r>
              <w:t xml:space="preserve">-шатунним механізмом та коди яких згідно з УКТ ЗЕД не зазначені у підпункті 215.3.4 пункту 215.3 цієї статті (крім газу природного у газоподібному стані за кодом 2711 21 00 00 згідно з УКТ ЗЕД); </w:t>
            </w:r>
          </w:p>
          <w:p w:rsidR="000B502B" w:rsidRDefault="00842B2B">
            <w:pPr>
              <w:pStyle w:val="aa"/>
              <w:spacing w:before="0" w:beforeAutospacing="0" w:after="0" w:afterAutospacing="0"/>
              <w:jc w:val="both"/>
            </w:pPr>
            <w:r>
              <w:t>Норма відсутня</w:t>
            </w:r>
          </w:p>
          <w:p w:rsidR="000B502B" w:rsidRDefault="000B502B">
            <w:pPr>
              <w:pStyle w:val="aa"/>
              <w:spacing w:before="0" w:beforeAutospacing="0" w:after="0" w:afterAutospacing="0"/>
              <w:jc w:val="both"/>
            </w:pPr>
          </w:p>
          <w:p w:rsidR="000B502B" w:rsidRDefault="000B502B">
            <w:pPr>
              <w:pStyle w:val="aa"/>
              <w:spacing w:before="0" w:beforeAutospacing="0" w:after="0" w:afterAutospacing="0"/>
              <w:ind w:firstLine="426"/>
              <w:jc w:val="both"/>
            </w:pPr>
          </w:p>
          <w:p w:rsidR="000B502B" w:rsidRDefault="00842B2B">
            <w:pPr>
              <w:pStyle w:val="aa"/>
              <w:spacing w:before="0" w:beforeAutospacing="0" w:after="0" w:afterAutospacing="0"/>
              <w:jc w:val="both"/>
            </w:pPr>
            <w:r>
              <w:lastRenderedPageBreak/>
              <w:t xml:space="preserve">автомобілі легкові, кузови до них, причепи та напівпричепи, мотоцикли, транспортні засоби, призначені для перевезення 10 осіб і більше, транспортні засоби для перевезення вантажів; </w:t>
            </w:r>
          </w:p>
          <w:p w:rsidR="000B502B" w:rsidRDefault="00842B2B">
            <w:pPr>
              <w:pStyle w:val="aa"/>
              <w:spacing w:before="0" w:beforeAutospacing="0" w:after="0" w:afterAutospacing="0"/>
              <w:jc w:val="both"/>
            </w:pPr>
            <w:r>
              <w:t>електрична енергія.</w:t>
            </w:r>
          </w:p>
        </w:tc>
        <w:tc>
          <w:tcPr>
            <w:tcW w:w="7655" w:type="dxa"/>
          </w:tcPr>
          <w:p w:rsidR="000B502B" w:rsidRDefault="00842B2B">
            <w:pPr>
              <w:pStyle w:val="aa"/>
              <w:spacing w:before="0" w:beforeAutospacing="0" w:after="0" w:afterAutospacing="0"/>
              <w:jc w:val="both"/>
            </w:pPr>
            <w:r>
              <w:lastRenderedPageBreak/>
              <w:t xml:space="preserve">215.1. До підакцизних товарів належать: </w:t>
            </w:r>
          </w:p>
          <w:p w:rsidR="000B502B" w:rsidRDefault="00842B2B">
            <w:pPr>
              <w:pStyle w:val="aa"/>
              <w:spacing w:before="0" w:beforeAutospacing="0" w:after="0" w:afterAutospacing="0"/>
              <w:jc w:val="both"/>
            </w:pPr>
            <w:r>
              <w:t xml:space="preserve">спирт етиловий та інші спиртові дистиляти, алкогольні напої, пиво (крім квасу «живого» бродіння); </w:t>
            </w:r>
          </w:p>
          <w:p w:rsidR="000B502B" w:rsidRDefault="00842B2B">
            <w:pPr>
              <w:pStyle w:val="aa"/>
              <w:spacing w:before="0" w:beforeAutospacing="0" w:after="0" w:afterAutospacing="0"/>
              <w:jc w:val="both"/>
            </w:pPr>
            <w:r>
              <w:t xml:space="preserve">тютюнові вироби, тютюн та промислові замінники тютюну; </w:t>
            </w:r>
          </w:p>
          <w:p w:rsidR="000B502B" w:rsidRDefault="00842B2B">
            <w:pPr>
              <w:pStyle w:val="aa"/>
              <w:spacing w:before="0" w:beforeAutospacing="0" w:after="0" w:afterAutospacing="0"/>
              <w:jc w:val="both"/>
            </w:pPr>
            <w:r>
              <w:t>рідини, що використовуються в електронних сигаретах;</w:t>
            </w:r>
          </w:p>
          <w:p w:rsidR="000B502B" w:rsidRDefault="00842B2B">
            <w:pPr>
              <w:pStyle w:val="aa"/>
              <w:spacing w:before="0" w:beforeAutospacing="0" w:after="0" w:afterAutospacing="0"/>
              <w:jc w:val="both"/>
            </w:pPr>
            <w:r>
              <w:t>пальне, у тому числі:</w:t>
            </w:r>
          </w:p>
          <w:p w:rsidR="000B502B" w:rsidRDefault="00842B2B">
            <w:pPr>
              <w:pStyle w:val="aa"/>
              <w:spacing w:before="0" w:beforeAutospacing="0" w:after="0" w:afterAutospacing="0"/>
              <w:jc w:val="both"/>
            </w:pPr>
            <w:r>
              <w:rPr>
                <w:b/>
              </w:rPr>
              <w:t>а)</w:t>
            </w:r>
            <w:r>
              <w:t xml:space="preserve"> товари (продукція), що використовуються як пальне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w:t>
            </w:r>
            <w:proofErr w:type="spellStart"/>
            <w:r>
              <w:t>кривошипно</w:t>
            </w:r>
            <w:proofErr w:type="spellEnd"/>
            <w:r>
              <w:t>-шатунним механізмом та коди яких згідно з УКТ ЗЕД не зазначені у підпункті 215.3.4 пункту 215.3 цієї статті (крім газу природного у газоподібному стані за кодом 2711 21 00 00 згідно з УКТ ЗЕД);</w:t>
            </w:r>
          </w:p>
          <w:p w:rsidR="000B502B" w:rsidRDefault="00842B2B">
            <w:pPr>
              <w:pStyle w:val="aa"/>
              <w:spacing w:before="0" w:beforeAutospacing="0" w:after="0" w:afterAutospacing="0"/>
              <w:jc w:val="both"/>
              <w:rPr>
                <w:b/>
              </w:rPr>
            </w:pPr>
            <w:r>
              <w:rPr>
                <w:b/>
              </w:rPr>
              <w:t xml:space="preserve">б) товари (продукція), до складу яких входить хоча б один компонент, що є підакцизним товаром, зазначеним у підпункті 215.3.4 пункту 215.3 цієї статті; </w:t>
            </w:r>
          </w:p>
          <w:p w:rsidR="000B502B" w:rsidRDefault="00842B2B">
            <w:pPr>
              <w:pStyle w:val="aa"/>
              <w:spacing w:before="0" w:beforeAutospacing="0" w:after="0" w:afterAutospacing="0"/>
              <w:jc w:val="both"/>
            </w:pPr>
            <w:r>
              <w:lastRenderedPageBreak/>
              <w:t xml:space="preserve">автомобілі легкові, кузови до них, причепи та напівпричепи, мотоцикли, транспортні засоби, призначені для перевезення 10 осіб і більше, транспортні засоби для перевезення вантажів; </w:t>
            </w:r>
          </w:p>
          <w:p w:rsidR="000B502B" w:rsidRDefault="00842B2B">
            <w:pPr>
              <w:pStyle w:val="aa"/>
              <w:spacing w:before="0" w:beforeAutospacing="0" w:after="0" w:afterAutospacing="0"/>
              <w:jc w:val="both"/>
            </w:pPr>
            <w:r>
              <w:t>електрична енергія.</w:t>
            </w:r>
          </w:p>
        </w:tc>
      </w:tr>
      <w:tr w:rsidR="000B502B">
        <w:tc>
          <w:tcPr>
            <w:tcW w:w="7479" w:type="dxa"/>
          </w:tcPr>
          <w:p w:rsidR="000B502B" w:rsidRDefault="00842B2B">
            <w:pPr>
              <w:pStyle w:val="aa"/>
              <w:spacing w:before="0" w:beforeAutospacing="0" w:after="0" w:afterAutospacing="0"/>
              <w:jc w:val="both"/>
            </w:pPr>
            <w:r>
              <w:lastRenderedPageBreak/>
              <w:t>215.3. Податок справляється з таких товарів та обчислюється за такими ставками:</w:t>
            </w:r>
          </w:p>
        </w:tc>
        <w:tc>
          <w:tcPr>
            <w:tcW w:w="7655" w:type="dxa"/>
          </w:tcPr>
          <w:p w:rsidR="000B502B" w:rsidRDefault="00842B2B">
            <w:pPr>
              <w:pStyle w:val="aa"/>
              <w:spacing w:before="0" w:beforeAutospacing="0" w:after="0" w:afterAutospacing="0"/>
              <w:jc w:val="both"/>
            </w:pPr>
            <w:r>
              <w:t>215.3. Податок справляється з таких товарів та обчислюється за такими ставками:</w:t>
            </w:r>
          </w:p>
        </w:tc>
      </w:tr>
      <w:tr w:rsidR="000B502B">
        <w:tc>
          <w:tcPr>
            <w:tcW w:w="7479" w:type="dxa"/>
          </w:tcPr>
          <w:p w:rsidR="000B502B" w:rsidRDefault="00842B2B">
            <w:pPr>
              <w:pStyle w:val="aa"/>
              <w:spacing w:before="0" w:beforeAutospacing="0" w:after="0" w:afterAutospacing="0"/>
              <w:jc w:val="both"/>
            </w:pPr>
            <w:r>
              <w:t>215.3.4.</w:t>
            </w:r>
          </w:p>
          <w:p w:rsidR="000B502B" w:rsidRDefault="000B502B">
            <w:pPr>
              <w:pStyle w:val="aa"/>
              <w:spacing w:before="0" w:beforeAutospacing="0" w:after="0" w:afterAutospacing="0"/>
              <w:jc w:val="both"/>
              <w:rPr>
                <w:b/>
              </w:rPr>
            </w:pPr>
          </w:p>
          <w:tbl>
            <w:tblPr>
              <w:tblW w:w="5000" w:type="pct"/>
              <w:tblBorders>
                <w:top w:val="outset" w:sz="2" w:space="0" w:color="auto"/>
                <w:left w:val="outset" w:sz="2" w:space="0" w:color="auto"/>
                <w:bottom w:val="outset" w:sz="2" w:space="0" w:color="auto"/>
                <w:right w:val="outset"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20"/>
              <w:gridCol w:w="3532"/>
              <w:gridCol w:w="1315"/>
              <w:gridCol w:w="996"/>
            </w:tblGrid>
            <w:tr w:rsidR="000B502B">
              <w:tc>
                <w:tcPr>
                  <w:tcW w:w="1435" w:type="dxa"/>
                  <w:vMerge w:val="restart"/>
                  <w:tcBorders>
                    <w:top w:val="single" w:sz="6" w:space="0" w:color="000000"/>
                    <w:left w:val="nil"/>
                    <w:bottom w:val="single" w:sz="6" w:space="0" w:color="000000"/>
                    <w:right w:val="single" w:sz="6" w:space="0" w:color="000000"/>
                  </w:tcBorders>
                  <w:shd w:val="clear" w:color="auto" w:fill="FFFFFF"/>
                </w:tcPr>
                <w:p w:rsidR="000B502B" w:rsidRDefault="00842B2B">
                  <w:pPr>
                    <w:pStyle w:val="rvps12"/>
                    <w:spacing w:before="150" w:beforeAutospacing="0" w:after="150" w:afterAutospacing="0"/>
                    <w:jc w:val="center"/>
                  </w:pPr>
                  <w:r>
                    <w:t>Код товару (продукції) згідно з </w:t>
                  </w:r>
                  <w:hyperlink r:id="rId11" w:anchor="n621" w:tgtFrame="_blank" w:history="1">
                    <w:r>
                      <w:rPr>
                        <w:rStyle w:val="a3"/>
                        <w:color w:val="auto"/>
                      </w:rPr>
                      <w:t>УКТ ЗЕД</w:t>
                    </w:r>
                  </w:hyperlink>
                </w:p>
              </w:tc>
              <w:tc>
                <w:tcPr>
                  <w:tcW w:w="3673"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0B502B" w:rsidRDefault="00842B2B">
                  <w:pPr>
                    <w:pStyle w:val="rvps12"/>
                    <w:spacing w:before="150" w:beforeAutospacing="0" w:after="150" w:afterAutospacing="0"/>
                    <w:jc w:val="center"/>
                  </w:pPr>
                  <w:r>
                    <w:t>Опис товару (продукції) згідно з </w:t>
                  </w:r>
                  <w:hyperlink r:id="rId12" w:anchor="n621" w:tgtFrame="_blank" w:history="1">
                    <w:r>
                      <w:rPr>
                        <w:rStyle w:val="a3"/>
                        <w:color w:val="auto"/>
                      </w:rPr>
                      <w:t>УКТ ЗЕД</w:t>
                    </w:r>
                  </w:hyperlink>
                </w:p>
              </w:tc>
              <w:tc>
                <w:tcPr>
                  <w:tcW w:w="2331" w:type="dxa"/>
                  <w:gridSpan w:val="2"/>
                  <w:tcBorders>
                    <w:top w:val="single" w:sz="6" w:space="0" w:color="000000"/>
                    <w:left w:val="single" w:sz="6" w:space="0" w:color="000000"/>
                    <w:bottom w:val="single" w:sz="6" w:space="0" w:color="000000"/>
                    <w:right w:val="nil"/>
                  </w:tcBorders>
                  <w:shd w:val="clear" w:color="auto" w:fill="FFFFFF"/>
                </w:tcPr>
                <w:p w:rsidR="000B502B" w:rsidRDefault="00842B2B">
                  <w:pPr>
                    <w:pStyle w:val="rvps12"/>
                    <w:spacing w:before="150" w:beforeAutospacing="0" w:after="150" w:afterAutospacing="0"/>
                    <w:jc w:val="center"/>
                  </w:pPr>
                  <w:r>
                    <w:t>Ставка акцизного податку у твердих сумах з одиниці реалізованого товару (продукції)</w:t>
                  </w:r>
                </w:p>
              </w:tc>
            </w:tr>
            <w:tr w:rsidR="000B502B">
              <w:tc>
                <w:tcPr>
                  <w:tcW w:w="0" w:type="auto"/>
                  <w:vMerge/>
                  <w:tcBorders>
                    <w:top w:val="single" w:sz="6" w:space="0" w:color="000000"/>
                    <w:left w:val="nil"/>
                    <w:bottom w:val="single" w:sz="6" w:space="0" w:color="000000"/>
                    <w:right w:val="single" w:sz="6" w:space="0" w:color="000000"/>
                  </w:tcBorders>
                  <w:shd w:val="clear" w:color="auto" w:fill="FFFFFF"/>
                </w:tcPr>
                <w:p w:rsidR="000B502B" w:rsidRDefault="000B502B">
                  <w:pPr>
                    <w:rPr>
                      <w:rFonts w:ascii="Times New Roman" w:hAnsi="Times New Roman" w:cs="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tcPr>
                <w:p w:rsidR="000B502B" w:rsidRDefault="000B502B">
                  <w:pPr>
                    <w:rPr>
                      <w:rFonts w:ascii="Times New Roman" w:hAnsi="Times New Roman" w:cs="Times New Roman"/>
                      <w:sz w:val="24"/>
                      <w:szCs w:val="24"/>
                    </w:rPr>
                  </w:pPr>
                </w:p>
              </w:tc>
              <w:tc>
                <w:tcPr>
                  <w:tcW w:w="1320" w:type="dxa"/>
                  <w:tcBorders>
                    <w:top w:val="single" w:sz="6" w:space="0" w:color="000000"/>
                    <w:left w:val="single" w:sz="6" w:space="0" w:color="000000"/>
                    <w:bottom w:val="single" w:sz="6" w:space="0" w:color="000000"/>
                    <w:right w:val="single" w:sz="6" w:space="0" w:color="000000"/>
                  </w:tcBorders>
                  <w:shd w:val="clear" w:color="auto" w:fill="FFFFFF"/>
                </w:tcPr>
                <w:p w:rsidR="000B502B" w:rsidRDefault="00842B2B">
                  <w:pPr>
                    <w:pStyle w:val="rvps12"/>
                    <w:spacing w:before="150" w:beforeAutospacing="0" w:after="150" w:afterAutospacing="0"/>
                    <w:jc w:val="center"/>
                  </w:pPr>
                  <w:r>
                    <w:t>одиниця виміру (об’єм у літрах, приведених до t 15° C)</w:t>
                  </w:r>
                </w:p>
              </w:tc>
              <w:tc>
                <w:tcPr>
                  <w:tcW w:w="1011" w:type="dxa"/>
                  <w:tcBorders>
                    <w:top w:val="single" w:sz="6" w:space="0" w:color="000000"/>
                    <w:left w:val="single" w:sz="6" w:space="0" w:color="000000"/>
                    <w:bottom w:val="single" w:sz="6" w:space="0" w:color="000000"/>
                    <w:right w:val="nil"/>
                  </w:tcBorders>
                  <w:shd w:val="clear" w:color="auto" w:fill="FFFFFF"/>
                </w:tcPr>
                <w:p w:rsidR="000B502B" w:rsidRDefault="00842B2B">
                  <w:pPr>
                    <w:pStyle w:val="rvps12"/>
                    <w:spacing w:before="150" w:beforeAutospacing="0" w:after="150" w:afterAutospacing="0"/>
                    <w:jc w:val="center"/>
                  </w:pPr>
                  <w:r>
                    <w:t>Ставка</w:t>
                  </w:r>
                </w:p>
              </w:tc>
            </w:tr>
          </w:tbl>
          <w:p w:rsidR="000B502B" w:rsidRDefault="00842B2B">
            <w:pPr>
              <w:pStyle w:val="aa"/>
              <w:spacing w:before="0" w:beforeAutospacing="0" w:after="0" w:afterAutospacing="0"/>
              <w:jc w:val="both"/>
              <w:rPr>
                <w:rFonts w:eastAsia="Times New Roman"/>
                <w:b/>
              </w:rPr>
            </w:pPr>
            <w:r>
              <w:rPr>
                <w:rFonts w:eastAsia="Times New Roman"/>
                <w:b/>
              </w:rPr>
              <w:t>…</w:t>
            </w:r>
          </w:p>
          <w:tbl>
            <w:tblPr>
              <w:tblW w:w="5000" w:type="pct"/>
              <w:tblBorders>
                <w:top w:val="single" w:sz="4" w:space="0" w:color="auto"/>
                <w:bottom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53"/>
              <w:gridCol w:w="3543"/>
              <w:gridCol w:w="1276"/>
              <w:gridCol w:w="991"/>
            </w:tblGrid>
            <w:tr w:rsidR="000B502B">
              <w:tc>
                <w:tcPr>
                  <w:tcW w:w="1453" w:type="dxa"/>
                  <w:shd w:val="clear" w:color="auto" w:fill="FFFFFF"/>
                </w:tcPr>
                <w:p w:rsidR="000B502B" w:rsidRDefault="00842B2B">
                  <w:pPr>
                    <w:spacing w:before="150" w:after="15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3814 00 90 90</w:t>
                  </w:r>
                </w:p>
              </w:tc>
              <w:tc>
                <w:tcPr>
                  <w:tcW w:w="3543" w:type="dxa"/>
                  <w:shd w:val="clear" w:color="auto" w:fill="FFFFFF"/>
                </w:tcPr>
                <w:p w:rsidR="000B502B" w:rsidRDefault="00842B2B">
                  <w:pPr>
                    <w:spacing w:before="150" w:after="15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Тільки розчинники або розріджувачі на основі метанолу; інші готові суміші на основі метанолу</w:t>
                  </w:r>
                </w:p>
              </w:tc>
              <w:tc>
                <w:tcPr>
                  <w:tcW w:w="1276" w:type="dxa"/>
                  <w:shd w:val="clear" w:color="auto" w:fill="FFFFFF"/>
                </w:tcPr>
                <w:p w:rsidR="000B502B" w:rsidRDefault="00842B2B">
                  <w:pPr>
                    <w:spacing w:before="150" w:after="15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євро за 1000 літрів</w:t>
                  </w:r>
                </w:p>
              </w:tc>
              <w:tc>
                <w:tcPr>
                  <w:tcW w:w="991" w:type="dxa"/>
                  <w:shd w:val="clear" w:color="auto" w:fill="FFFFFF"/>
                </w:tcPr>
                <w:p w:rsidR="000B502B" w:rsidRDefault="00842B2B">
                  <w:pPr>
                    <w:spacing w:before="150" w:after="15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245,50</w:t>
                  </w:r>
                </w:p>
                <w:p w:rsidR="000B502B" w:rsidRDefault="000B502B">
                  <w:pPr>
                    <w:spacing w:before="150" w:after="150" w:line="240" w:lineRule="auto"/>
                    <w:jc w:val="center"/>
                    <w:rPr>
                      <w:rFonts w:ascii="Times New Roman" w:eastAsia="Times New Roman" w:hAnsi="Times New Roman" w:cs="Times New Roman"/>
                      <w:sz w:val="24"/>
                      <w:szCs w:val="24"/>
                      <w:lang w:eastAsia="uk-UA"/>
                    </w:rPr>
                  </w:pPr>
                </w:p>
              </w:tc>
            </w:tr>
          </w:tbl>
          <w:p w:rsidR="000B502B" w:rsidRDefault="000B502B">
            <w:pPr>
              <w:pStyle w:val="aa"/>
              <w:spacing w:before="0" w:beforeAutospacing="0" w:after="0" w:afterAutospacing="0"/>
              <w:jc w:val="both"/>
              <w:rPr>
                <w:rFonts w:eastAsia="Times New Roman"/>
                <w:b/>
              </w:rPr>
            </w:pPr>
          </w:p>
          <w:p w:rsidR="000B502B" w:rsidRDefault="000B502B">
            <w:pPr>
              <w:pStyle w:val="aa"/>
              <w:spacing w:before="0" w:beforeAutospacing="0" w:after="0" w:afterAutospacing="0"/>
              <w:jc w:val="both"/>
              <w:rPr>
                <w:rFonts w:eastAsia="Times New Roman"/>
                <w:b/>
              </w:rPr>
            </w:pPr>
          </w:p>
        </w:tc>
        <w:tc>
          <w:tcPr>
            <w:tcW w:w="7655" w:type="dxa"/>
          </w:tcPr>
          <w:p w:rsidR="000B502B" w:rsidRDefault="00842B2B">
            <w:pPr>
              <w:pStyle w:val="aa"/>
              <w:spacing w:before="0" w:beforeAutospacing="0" w:after="0" w:afterAutospacing="0"/>
              <w:jc w:val="both"/>
            </w:pPr>
            <w:r>
              <w:t>215.3.4.</w:t>
            </w:r>
          </w:p>
          <w:p w:rsidR="000B502B" w:rsidRDefault="000B502B">
            <w:pPr>
              <w:pStyle w:val="aa"/>
              <w:spacing w:before="0" w:beforeAutospacing="0" w:after="0" w:afterAutospacing="0"/>
              <w:jc w:val="both"/>
              <w:rPr>
                <w:b/>
              </w:rPr>
            </w:pPr>
          </w:p>
          <w:tbl>
            <w:tblPr>
              <w:tblW w:w="5000" w:type="pct"/>
              <w:tblBorders>
                <w:top w:val="outset" w:sz="2" w:space="0" w:color="auto"/>
                <w:left w:val="outset" w:sz="2" w:space="0" w:color="auto"/>
                <w:bottom w:val="outset" w:sz="2" w:space="0" w:color="auto"/>
                <w:right w:val="outset"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74"/>
              <w:gridCol w:w="3828"/>
              <w:gridCol w:w="1275"/>
              <w:gridCol w:w="862"/>
            </w:tblGrid>
            <w:tr w:rsidR="000B502B">
              <w:tc>
                <w:tcPr>
                  <w:tcW w:w="1474" w:type="dxa"/>
                  <w:vMerge w:val="restart"/>
                  <w:tcBorders>
                    <w:top w:val="single" w:sz="6" w:space="0" w:color="000000"/>
                    <w:left w:val="nil"/>
                    <w:bottom w:val="single" w:sz="6" w:space="0" w:color="000000"/>
                    <w:right w:val="single" w:sz="6" w:space="0" w:color="000000"/>
                  </w:tcBorders>
                  <w:shd w:val="clear" w:color="auto" w:fill="FFFFFF"/>
                </w:tcPr>
                <w:p w:rsidR="000B502B" w:rsidRDefault="00842B2B">
                  <w:pPr>
                    <w:pStyle w:val="rvps12"/>
                    <w:spacing w:before="150" w:beforeAutospacing="0" w:after="150" w:afterAutospacing="0"/>
                    <w:jc w:val="center"/>
                  </w:pPr>
                  <w:r>
                    <w:t>Код товару (продукції) згідно з </w:t>
                  </w:r>
                  <w:hyperlink r:id="rId13" w:anchor="n621" w:tgtFrame="_blank" w:history="1">
                    <w:r>
                      <w:rPr>
                        <w:rStyle w:val="a3"/>
                        <w:color w:val="auto"/>
                      </w:rPr>
                      <w:t>УКТ ЗЕД</w:t>
                    </w:r>
                  </w:hyperlink>
                </w:p>
              </w:tc>
              <w:tc>
                <w:tcPr>
                  <w:tcW w:w="3828" w:type="dxa"/>
                  <w:vMerge w:val="restart"/>
                  <w:tcBorders>
                    <w:top w:val="single" w:sz="6" w:space="0" w:color="000000"/>
                    <w:left w:val="single" w:sz="6" w:space="0" w:color="000000"/>
                    <w:bottom w:val="single" w:sz="6" w:space="0" w:color="000000"/>
                    <w:right w:val="single" w:sz="6" w:space="0" w:color="000000"/>
                  </w:tcBorders>
                  <w:shd w:val="clear" w:color="auto" w:fill="FFFFFF"/>
                </w:tcPr>
                <w:p w:rsidR="000B502B" w:rsidRDefault="00842B2B">
                  <w:pPr>
                    <w:pStyle w:val="rvps12"/>
                    <w:spacing w:before="150" w:beforeAutospacing="0" w:after="150" w:afterAutospacing="0"/>
                    <w:jc w:val="center"/>
                  </w:pPr>
                  <w:r>
                    <w:t>Опис товару (продукції) згідно з </w:t>
                  </w:r>
                  <w:hyperlink r:id="rId14" w:anchor="n621" w:tgtFrame="_blank" w:history="1">
                    <w:r>
                      <w:rPr>
                        <w:rStyle w:val="a3"/>
                        <w:color w:val="auto"/>
                      </w:rPr>
                      <w:t>УКТ ЗЕД</w:t>
                    </w:r>
                  </w:hyperlink>
                </w:p>
              </w:tc>
              <w:tc>
                <w:tcPr>
                  <w:tcW w:w="2137" w:type="dxa"/>
                  <w:gridSpan w:val="2"/>
                  <w:tcBorders>
                    <w:top w:val="single" w:sz="6" w:space="0" w:color="000000"/>
                    <w:left w:val="single" w:sz="6" w:space="0" w:color="000000"/>
                    <w:bottom w:val="single" w:sz="6" w:space="0" w:color="000000"/>
                    <w:right w:val="nil"/>
                  </w:tcBorders>
                  <w:shd w:val="clear" w:color="auto" w:fill="FFFFFF"/>
                </w:tcPr>
                <w:p w:rsidR="000B502B" w:rsidRDefault="00842B2B">
                  <w:pPr>
                    <w:pStyle w:val="rvps12"/>
                    <w:spacing w:before="150" w:beforeAutospacing="0" w:after="150" w:afterAutospacing="0"/>
                    <w:jc w:val="center"/>
                  </w:pPr>
                  <w:r>
                    <w:t>Ставка акцизного податку у твердих сумах з одиниці реалізованого товару (продукції)</w:t>
                  </w:r>
                </w:p>
              </w:tc>
            </w:tr>
            <w:tr w:rsidR="000B502B">
              <w:tc>
                <w:tcPr>
                  <w:tcW w:w="1474" w:type="dxa"/>
                  <w:vMerge/>
                  <w:tcBorders>
                    <w:top w:val="single" w:sz="4" w:space="0" w:color="auto"/>
                    <w:left w:val="nil"/>
                    <w:bottom w:val="single" w:sz="6" w:space="0" w:color="000000"/>
                    <w:right w:val="single" w:sz="6" w:space="0" w:color="000000"/>
                  </w:tcBorders>
                  <w:shd w:val="clear" w:color="auto" w:fill="FFFFFF"/>
                </w:tcPr>
                <w:p w:rsidR="000B502B" w:rsidRDefault="000B502B">
                  <w:pPr>
                    <w:rPr>
                      <w:rFonts w:ascii="Times New Roman" w:hAnsi="Times New Roman" w:cs="Times New Roman"/>
                      <w:sz w:val="24"/>
                      <w:szCs w:val="24"/>
                    </w:rPr>
                  </w:pPr>
                </w:p>
              </w:tc>
              <w:tc>
                <w:tcPr>
                  <w:tcW w:w="3828" w:type="dxa"/>
                  <w:vMerge/>
                  <w:tcBorders>
                    <w:top w:val="single" w:sz="6" w:space="0" w:color="000000"/>
                    <w:left w:val="single" w:sz="6" w:space="0" w:color="000000"/>
                    <w:bottom w:val="single" w:sz="6" w:space="0" w:color="000000"/>
                    <w:right w:val="single" w:sz="6" w:space="0" w:color="000000"/>
                  </w:tcBorders>
                  <w:shd w:val="clear" w:color="auto" w:fill="FFFFFF"/>
                </w:tcPr>
                <w:p w:rsidR="000B502B" w:rsidRDefault="000B502B">
                  <w:pPr>
                    <w:rPr>
                      <w:rFonts w:ascii="Times New Roman" w:hAnsi="Times New Roman" w:cs="Times New Roman"/>
                      <w:sz w:val="24"/>
                      <w:szCs w:val="24"/>
                    </w:rP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rsidR="000B502B" w:rsidRDefault="00842B2B">
                  <w:pPr>
                    <w:pStyle w:val="rvps12"/>
                    <w:spacing w:before="150" w:beforeAutospacing="0" w:after="150" w:afterAutospacing="0"/>
                    <w:jc w:val="center"/>
                  </w:pPr>
                  <w:r>
                    <w:t>одиниця виміру (об’єм у літрах, приведених до t 15° C)</w:t>
                  </w:r>
                </w:p>
              </w:tc>
              <w:tc>
                <w:tcPr>
                  <w:tcW w:w="862" w:type="dxa"/>
                  <w:tcBorders>
                    <w:top w:val="single" w:sz="6" w:space="0" w:color="000000"/>
                    <w:left w:val="single" w:sz="6" w:space="0" w:color="000000"/>
                    <w:bottom w:val="single" w:sz="6" w:space="0" w:color="000000"/>
                    <w:right w:val="nil"/>
                  </w:tcBorders>
                  <w:shd w:val="clear" w:color="auto" w:fill="FFFFFF"/>
                </w:tcPr>
                <w:p w:rsidR="000B502B" w:rsidRDefault="00842B2B">
                  <w:pPr>
                    <w:pStyle w:val="rvps12"/>
                    <w:spacing w:before="150" w:beforeAutospacing="0" w:after="150" w:afterAutospacing="0"/>
                    <w:jc w:val="center"/>
                  </w:pPr>
                  <w:r>
                    <w:t>Ставка</w:t>
                  </w:r>
                </w:p>
              </w:tc>
            </w:tr>
          </w:tbl>
          <w:p w:rsidR="000B502B" w:rsidRDefault="00842B2B">
            <w:pPr>
              <w:pStyle w:val="aa"/>
              <w:spacing w:before="0" w:beforeAutospacing="0" w:after="0" w:afterAutospacing="0"/>
              <w:jc w:val="both"/>
              <w:rPr>
                <w:rFonts w:eastAsia="Times New Roman"/>
                <w:b/>
              </w:rPr>
            </w:pPr>
            <w:r>
              <w:rPr>
                <w:rFonts w:eastAsia="Times New Roman"/>
                <w:b/>
              </w:rPr>
              <w:t>…</w:t>
            </w:r>
          </w:p>
          <w:tbl>
            <w:tblPr>
              <w:tblW w:w="5000" w:type="pct"/>
              <w:tblBorders>
                <w:top w:val="single" w:sz="4" w:space="0" w:color="auto"/>
                <w:bottom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474"/>
              <w:gridCol w:w="3780"/>
              <w:gridCol w:w="1323"/>
              <w:gridCol w:w="862"/>
            </w:tblGrid>
            <w:tr w:rsidR="000B502B">
              <w:tc>
                <w:tcPr>
                  <w:tcW w:w="1474" w:type="dxa"/>
                  <w:shd w:val="clear" w:color="auto" w:fill="FFFFFF"/>
                </w:tcPr>
                <w:p w:rsidR="000B502B" w:rsidRDefault="00842B2B">
                  <w:pPr>
                    <w:spacing w:before="150" w:after="15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3814 00 90 90</w:t>
                  </w:r>
                </w:p>
              </w:tc>
              <w:tc>
                <w:tcPr>
                  <w:tcW w:w="3780" w:type="dxa"/>
                  <w:shd w:val="clear" w:color="auto" w:fill="FFFFFF"/>
                </w:tcPr>
                <w:p w:rsidR="000B502B" w:rsidRDefault="00842B2B">
                  <w:pPr>
                    <w:spacing w:before="150" w:after="15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Тільки розчинники або розріджувачі на основі метанолу; інші готові суміші на основі метанолу</w:t>
                  </w:r>
                </w:p>
              </w:tc>
              <w:tc>
                <w:tcPr>
                  <w:tcW w:w="1323" w:type="dxa"/>
                  <w:shd w:val="clear" w:color="auto" w:fill="FFFFFF"/>
                </w:tcPr>
                <w:p w:rsidR="000B502B" w:rsidRDefault="00842B2B">
                  <w:pPr>
                    <w:spacing w:before="150" w:after="15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євро за </w:t>
                  </w:r>
                  <w:r>
                    <w:rPr>
                      <w:rFonts w:ascii="Times New Roman" w:eastAsia="Times New Roman" w:hAnsi="Times New Roman" w:cs="Times New Roman"/>
                      <w:sz w:val="24"/>
                      <w:szCs w:val="24"/>
                      <w:lang w:eastAsia="uk-UA"/>
                    </w:rPr>
                    <w:br/>
                    <w:t>1000 літрів</w:t>
                  </w:r>
                </w:p>
              </w:tc>
              <w:tc>
                <w:tcPr>
                  <w:tcW w:w="862" w:type="dxa"/>
                  <w:shd w:val="clear" w:color="auto" w:fill="FFFFFF"/>
                </w:tcPr>
                <w:p w:rsidR="000B502B" w:rsidRDefault="00842B2B">
                  <w:pPr>
                    <w:spacing w:before="150" w:after="15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245,50</w:t>
                  </w:r>
                </w:p>
                <w:p w:rsidR="000B502B" w:rsidRDefault="000B502B">
                  <w:pPr>
                    <w:spacing w:before="150" w:after="150" w:line="240" w:lineRule="auto"/>
                    <w:jc w:val="center"/>
                    <w:rPr>
                      <w:rFonts w:ascii="Times New Roman" w:eastAsia="Times New Roman" w:hAnsi="Times New Roman" w:cs="Times New Roman"/>
                      <w:sz w:val="24"/>
                      <w:szCs w:val="24"/>
                      <w:lang w:eastAsia="uk-UA"/>
                    </w:rPr>
                  </w:pPr>
                </w:p>
              </w:tc>
            </w:tr>
            <w:tr w:rsidR="000B502B">
              <w:tc>
                <w:tcPr>
                  <w:tcW w:w="1474" w:type="dxa"/>
                  <w:shd w:val="clear" w:color="auto" w:fill="FFFFFF"/>
                </w:tcPr>
                <w:p w:rsidR="000B502B" w:rsidRDefault="000B502B">
                  <w:pPr>
                    <w:spacing w:before="150" w:after="150" w:line="240" w:lineRule="auto"/>
                    <w:rPr>
                      <w:rFonts w:ascii="Times New Roman" w:eastAsia="Times New Roman" w:hAnsi="Times New Roman" w:cs="Times New Roman"/>
                      <w:sz w:val="24"/>
                      <w:szCs w:val="24"/>
                      <w:lang w:eastAsia="uk-UA"/>
                    </w:rPr>
                  </w:pPr>
                </w:p>
              </w:tc>
              <w:tc>
                <w:tcPr>
                  <w:tcW w:w="3780" w:type="dxa"/>
                  <w:shd w:val="clear" w:color="auto" w:fill="FFFFFF"/>
                </w:tcPr>
                <w:p w:rsidR="000B502B" w:rsidRDefault="00842B2B">
                  <w:pPr>
                    <w:spacing w:before="150" w:after="150" w:line="240" w:lineRule="auto"/>
                    <w:rPr>
                      <w:rFonts w:ascii="Times New Roman" w:eastAsia="Times New Roman" w:hAnsi="Times New Roman" w:cs="Times New Roman"/>
                      <w:b/>
                      <w:sz w:val="24"/>
                      <w:szCs w:val="24"/>
                      <w:lang w:eastAsia="uk-UA"/>
                    </w:rPr>
                  </w:pPr>
                  <w:r>
                    <w:rPr>
                      <w:rFonts w:ascii="Times New Roman" w:hAnsi="Times New Roman" w:cs="Times New Roman"/>
                      <w:b/>
                      <w:sz w:val="24"/>
                      <w:szCs w:val="24"/>
                    </w:rPr>
                    <w:t xml:space="preserve">Товари (продукція) не зазначені вище, до складу яких входить хоча б один компонент, що є </w:t>
                  </w:r>
                  <w:r>
                    <w:rPr>
                      <w:rFonts w:ascii="Times New Roman" w:hAnsi="Times New Roman" w:cs="Times New Roman"/>
                      <w:b/>
                      <w:sz w:val="24"/>
                      <w:szCs w:val="24"/>
                    </w:rPr>
                    <w:lastRenderedPageBreak/>
                    <w:t>підакцизним товаром, зазначеним у підпункті 215.3.4 пункту 215.3</w:t>
                  </w:r>
                  <w:r>
                    <w:rPr>
                      <w:rFonts w:ascii="Times New Roman" w:hAnsi="Times New Roman" w:cs="Times New Roman"/>
                      <w:b/>
                      <w:sz w:val="24"/>
                      <w:szCs w:val="24"/>
                      <w:lang w:eastAsia="uk-UA"/>
                    </w:rPr>
                    <w:t xml:space="preserve"> цієї статті, крім товарів</w:t>
                  </w:r>
                  <w:r w:rsidRPr="0009267F">
                    <w:rPr>
                      <w:rFonts w:ascii="Times New Roman" w:hAnsi="Times New Roman" w:cs="Times New Roman"/>
                      <w:b/>
                      <w:sz w:val="24"/>
                      <w:szCs w:val="24"/>
                      <w:lang w:eastAsia="uk-UA"/>
                    </w:rPr>
                    <w:t xml:space="preserve"> (продукції)</w:t>
                  </w:r>
                  <w:r>
                    <w:rPr>
                      <w:rFonts w:ascii="Times New Roman" w:hAnsi="Times New Roman" w:cs="Times New Roman"/>
                      <w:b/>
                      <w:sz w:val="24"/>
                      <w:szCs w:val="24"/>
                      <w:lang w:eastAsia="uk-UA"/>
                    </w:rPr>
                    <w:t xml:space="preserve"> у споживчій тарі ємністю до 5 л (включно);</w:t>
                  </w:r>
                </w:p>
              </w:tc>
              <w:tc>
                <w:tcPr>
                  <w:tcW w:w="1323" w:type="dxa"/>
                  <w:shd w:val="clear" w:color="auto" w:fill="FFFFFF"/>
                </w:tcPr>
                <w:p w:rsidR="000B502B" w:rsidRDefault="00842B2B">
                  <w:pPr>
                    <w:spacing w:before="150" w:after="150" w:line="240" w:lineRule="auto"/>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lastRenderedPageBreak/>
                    <w:t>євро за 1000 літрів</w:t>
                  </w:r>
                </w:p>
              </w:tc>
              <w:tc>
                <w:tcPr>
                  <w:tcW w:w="862" w:type="dxa"/>
                  <w:shd w:val="clear" w:color="auto" w:fill="FFFFFF"/>
                </w:tcPr>
                <w:p w:rsidR="000B502B" w:rsidRDefault="00842B2B">
                  <w:pPr>
                    <w:spacing w:before="150" w:after="150" w:line="240" w:lineRule="auto"/>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 xml:space="preserve">245,50 </w:t>
                  </w:r>
                </w:p>
                <w:p w:rsidR="000B502B" w:rsidRDefault="000B502B">
                  <w:pPr>
                    <w:spacing w:before="150" w:after="150" w:line="240" w:lineRule="auto"/>
                    <w:jc w:val="center"/>
                    <w:rPr>
                      <w:rFonts w:ascii="Times New Roman" w:eastAsia="Times New Roman" w:hAnsi="Times New Roman" w:cs="Times New Roman"/>
                      <w:b/>
                      <w:sz w:val="24"/>
                      <w:szCs w:val="24"/>
                      <w:lang w:eastAsia="uk-UA"/>
                    </w:rPr>
                  </w:pPr>
                </w:p>
              </w:tc>
            </w:tr>
          </w:tbl>
          <w:p w:rsidR="000B502B" w:rsidRDefault="000B502B">
            <w:pPr>
              <w:pStyle w:val="aa"/>
              <w:spacing w:before="0" w:beforeAutospacing="0" w:after="0" w:afterAutospacing="0"/>
              <w:jc w:val="both"/>
              <w:rPr>
                <w:b/>
              </w:rPr>
            </w:pPr>
          </w:p>
        </w:tc>
      </w:tr>
      <w:tr w:rsidR="000B502B">
        <w:tc>
          <w:tcPr>
            <w:tcW w:w="7479" w:type="dxa"/>
          </w:tcPr>
          <w:p w:rsidR="000B502B" w:rsidRDefault="00842B2B">
            <w:pPr>
              <w:pStyle w:val="3"/>
              <w:spacing w:before="0" w:beforeAutospacing="0" w:after="0" w:afterAutospacing="0"/>
              <w:jc w:val="both"/>
              <w:rPr>
                <w:b w:val="0"/>
                <w:sz w:val="24"/>
                <w:szCs w:val="24"/>
              </w:rPr>
            </w:pPr>
            <w:r>
              <w:rPr>
                <w:rFonts w:eastAsia="Times New Roman"/>
                <w:b w:val="0"/>
                <w:sz w:val="24"/>
                <w:szCs w:val="24"/>
              </w:rPr>
              <w:lastRenderedPageBreak/>
              <w:t xml:space="preserve">Стаття 229. Особливості оподаткування деяких підакцизних товарів залежно від напряму його використання </w:t>
            </w:r>
          </w:p>
        </w:tc>
        <w:tc>
          <w:tcPr>
            <w:tcW w:w="7655" w:type="dxa"/>
          </w:tcPr>
          <w:p w:rsidR="000B502B" w:rsidRDefault="00842B2B">
            <w:pPr>
              <w:pStyle w:val="3"/>
              <w:spacing w:before="0" w:beforeAutospacing="0" w:after="0" w:afterAutospacing="0"/>
              <w:jc w:val="both"/>
              <w:rPr>
                <w:b w:val="0"/>
                <w:sz w:val="24"/>
                <w:szCs w:val="24"/>
              </w:rPr>
            </w:pPr>
            <w:r>
              <w:rPr>
                <w:rFonts w:eastAsia="Times New Roman"/>
                <w:b w:val="0"/>
                <w:sz w:val="24"/>
                <w:szCs w:val="24"/>
              </w:rPr>
              <w:t xml:space="preserve">Стаття 229. Особливості оподаткування деяких підакцизних товарів залежно від напряму його використання </w:t>
            </w:r>
          </w:p>
        </w:tc>
      </w:tr>
      <w:tr w:rsidR="000B502B">
        <w:tc>
          <w:tcPr>
            <w:tcW w:w="7479" w:type="dxa"/>
          </w:tcPr>
          <w:p w:rsidR="000B502B" w:rsidRDefault="00842B2B">
            <w:pPr>
              <w:pStyle w:val="aa"/>
              <w:spacing w:before="0" w:beforeAutospacing="0" w:after="0" w:afterAutospacing="0"/>
              <w:jc w:val="both"/>
              <w:rPr>
                <w:b/>
              </w:rPr>
            </w:pPr>
            <w:r>
              <w:rPr>
                <w:b/>
              </w:rPr>
              <w:t>Норма відсутня</w:t>
            </w:r>
          </w:p>
        </w:tc>
        <w:tc>
          <w:tcPr>
            <w:tcW w:w="7655" w:type="dxa"/>
          </w:tcPr>
          <w:p w:rsidR="000B502B" w:rsidRDefault="00842B2B">
            <w:pPr>
              <w:pStyle w:val="aa"/>
              <w:spacing w:before="0" w:beforeAutospacing="0" w:after="0" w:afterAutospacing="0"/>
              <w:jc w:val="both"/>
              <w:rPr>
                <w:rFonts w:eastAsia="Calibri"/>
                <w:b/>
              </w:rPr>
            </w:pPr>
            <w:r>
              <w:rPr>
                <w:b/>
              </w:rPr>
              <w:t>229.9. Особливості оподаткування товарів (продукції), до складу яких входить хоча б один компонент, що є підакцизним товаром, зазначеним у підпункті 215.3.4 пункту 215.3 цього розділу</w:t>
            </w:r>
            <w:r>
              <w:rPr>
                <w:b/>
                <w:lang w:val="zh-CN"/>
              </w:rPr>
              <w:t>,</w:t>
            </w:r>
            <w:r>
              <w:rPr>
                <w:b/>
              </w:rPr>
              <w:t xml:space="preserve"> що використовуються в хімічній, нафтохімічній або добувній промисловості.</w:t>
            </w:r>
          </w:p>
        </w:tc>
      </w:tr>
      <w:tr w:rsidR="000B502B">
        <w:tc>
          <w:tcPr>
            <w:tcW w:w="7479" w:type="dxa"/>
          </w:tcPr>
          <w:p w:rsidR="000B502B" w:rsidRDefault="00842B2B">
            <w:pPr>
              <w:pStyle w:val="aa"/>
              <w:spacing w:before="0" w:beforeAutospacing="0" w:after="0" w:afterAutospacing="0"/>
              <w:jc w:val="both"/>
              <w:rPr>
                <w:b/>
              </w:rPr>
            </w:pPr>
            <w:r>
              <w:rPr>
                <w:b/>
              </w:rPr>
              <w:t>Норма відсутня</w:t>
            </w:r>
          </w:p>
        </w:tc>
        <w:tc>
          <w:tcPr>
            <w:tcW w:w="7655" w:type="dxa"/>
          </w:tcPr>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229.9.1. Товари (продукція), до складу яких входить хоча б один компонент, що </w:t>
            </w:r>
            <w:r>
              <w:rPr>
                <w:rFonts w:ascii="Times New Roman" w:hAnsi="Times New Roman" w:cs="Times New Roman"/>
                <w:b/>
                <w:sz w:val="24"/>
                <w:szCs w:val="24"/>
                <w:lang w:eastAsia="uk-UA"/>
              </w:rPr>
              <w:t>є підакцизним товаром, зазначеним у підпункті 215.3.4 пункту 215.3</w:t>
            </w:r>
            <w:r>
              <w:rPr>
                <w:rFonts w:ascii="Times New Roman" w:hAnsi="Times New Roman" w:cs="Times New Roman"/>
                <w:b/>
                <w:sz w:val="24"/>
                <w:szCs w:val="24"/>
              </w:rPr>
              <w:t xml:space="preserve"> статті 215 </w:t>
            </w:r>
            <w:r>
              <w:rPr>
                <w:rFonts w:ascii="Times New Roman" w:hAnsi="Times New Roman" w:cs="Times New Roman"/>
                <w:b/>
                <w:sz w:val="24"/>
                <w:szCs w:val="24"/>
                <w:lang w:eastAsia="uk-UA"/>
              </w:rPr>
              <w:t>цього розділу</w:t>
            </w:r>
            <w:r>
              <w:rPr>
                <w:rFonts w:ascii="Times New Roman" w:hAnsi="Times New Roman" w:cs="Times New Roman"/>
                <w:b/>
                <w:sz w:val="24"/>
                <w:szCs w:val="24"/>
              </w:rPr>
              <w:t xml:space="preserve">, можуть бути реалізовані їх виробниками суб’єктам господарювання хімічної, нафтохімічної або добувної промисловості або ввезені на митну територію України суб’єктами господарювання хімічної, нафтохімічної або добувної промисловості за нульовою ставкою акцизного податку. </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Перелік підприємств хімічної, нафтохімічної або добувної промисловості, що отримують або </w:t>
            </w:r>
            <w:proofErr w:type="spellStart"/>
            <w:r>
              <w:rPr>
                <w:rFonts w:ascii="Times New Roman" w:hAnsi="Times New Roman" w:cs="Times New Roman"/>
                <w:b/>
                <w:sz w:val="24"/>
                <w:szCs w:val="24"/>
              </w:rPr>
              <w:t>ввозять</w:t>
            </w:r>
            <w:proofErr w:type="spellEnd"/>
            <w:r>
              <w:rPr>
                <w:rFonts w:ascii="Times New Roman" w:hAnsi="Times New Roman" w:cs="Times New Roman"/>
                <w:b/>
                <w:sz w:val="24"/>
                <w:szCs w:val="24"/>
              </w:rPr>
              <w:t xml:space="preserve"> на митну територію України зазначені у цьому пункті товари (продукцію) за нульовою ставкою акцизного податку, затверджується Кабінетом Міністрів України.</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Норми цього підпункту не поширюються на товари (продукцію), зазначені у цьому пункті, що використовуються для виробництва інших видів пального.</w:t>
            </w:r>
          </w:p>
        </w:tc>
      </w:tr>
      <w:tr w:rsidR="000B502B">
        <w:tc>
          <w:tcPr>
            <w:tcW w:w="7479" w:type="dxa"/>
          </w:tcPr>
          <w:p w:rsidR="000B502B" w:rsidRDefault="00842B2B">
            <w:pPr>
              <w:pStyle w:val="aa"/>
              <w:spacing w:before="0" w:beforeAutospacing="0" w:after="0" w:afterAutospacing="0"/>
              <w:jc w:val="both"/>
              <w:rPr>
                <w:b/>
              </w:rPr>
            </w:pPr>
            <w:r>
              <w:rPr>
                <w:b/>
              </w:rPr>
              <w:t>Норма відсутня</w:t>
            </w:r>
          </w:p>
        </w:tc>
        <w:tc>
          <w:tcPr>
            <w:tcW w:w="7655" w:type="dxa"/>
          </w:tcPr>
          <w:p w:rsidR="000B502B" w:rsidRDefault="00842B2B">
            <w:pPr>
              <w:pStyle w:val="aa"/>
              <w:spacing w:before="0" w:beforeAutospacing="0" w:after="0" w:afterAutospacing="0"/>
              <w:jc w:val="both"/>
              <w:rPr>
                <w:b/>
              </w:rPr>
            </w:pPr>
            <w:r>
              <w:rPr>
                <w:b/>
              </w:rPr>
              <w:t xml:space="preserve">229.9.2. Товари (продукція), зазначені у цьому пункті, отримані або ввезені на митну територію України за нульовою ставкою акцизного податку, повинні бути використані для потреб власного </w:t>
            </w:r>
            <w:r>
              <w:rPr>
                <w:b/>
              </w:rPr>
              <w:lastRenderedPageBreak/>
              <w:t>виробництва з урахуванням вимог підпункту 229.9.1 цього пункту суб’єктами господарювання хімічної, нафтохімічної або добувної промисловості не пізніше 180 календарних днів з дня такого отримання (що підтверджено складеними на підставі первинних документів акцизними накладними, зареєстрованими в Єдиному реєстрі акцизних накладних) або ввезення на митну територію України (що підтверджено належно оформленими митними деклараціями).</w:t>
            </w:r>
          </w:p>
        </w:tc>
      </w:tr>
      <w:tr w:rsidR="000B502B">
        <w:tc>
          <w:tcPr>
            <w:tcW w:w="7479" w:type="dxa"/>
          </w:tcPr>
          <w:p w:rsidR="000B502B" w:rsidRDefault="00842B2B">
            <w:pPr>
              <w:pStyle w:val="aa"/>
              <w:spacing w:before="0" w:beforeAutospacing="0" w:after="0" w:afterAutospacing="0"/>
              <w:jc w:val="both"/>
              <w:rPr>
                <w:b/>
              </w:rPr>
            </w:pPr>
            <w:r>
              <w:rPr>
                <w:b/>
              </w:rPr>
              <w:lastRenderedPageBreak/>
              <w:t>Норма відсутня</w:t>
            </w:r>
          </w:p>
        </w:tc>
        <w:tc>
          <w:tcPr>
            <w:tcW w:w="7655" w:type="dxa"/>
          </w:tcPr>
          <w:p w:rsidR="000B502B" w:rsidRDefault="00842B2B">
            <w:pPr>
              <w:pStyle w:val="aa"/>
              <w:spacing w:before="0" w:beforeAutospacing="0" w:after="0" w:afterAutospacing="0"/>
              <w:jc w:val="both"/>
              <w:rPr>
                <w:b/>
              </w:rPr>
            </w:pPr>
            <w:r>
              <w:rPr>
                <w:b/>
              </w:rPr>
              <w:t>229.9.3. Контролюючі органи здійснюють контроль за цільовим використанням та строками такого використання товарів (продукції), зазначених у цьому пункті, що використовуються в хімічній, нафтохімічній або добувній промисловості.</w:t>
            </w:r>
          </w:p>
        </w:tc>
      </w:tr>
      <w:tr w:rsidR="000B502B">
        <w:tc>
          <w:tcPr>
            <w:tcW w:w="7479" w:type="dxa"/>
          </w:tcPr>
          <w:p w:rsidR="000B502B" w:rsidRDefault="00842B2B">
            <w:pPr>
              <w:pStyle w:val="aa"/>
              <w:spacing w:before="0" w:beforeAutospacing="0" w:after="0" w:afterAutospacing="0"/>
              <w:jc w:val="both"/>
              <w:rPr>
                <w:b/>
              </w:rPr>
            </w:pPr>
            <w:r>
              <w:rPr>
                <w:b/>
              </w:rPr>
              <w:t>Норма відсутня</w:t>
            </w:r>
          </w:p>
        </w:tc>
        <w:tc>
          <w:tcPr>
            <w:tcW w:w="7655" w:type="dxa"/>
          </w:tcPr>
          <w:p w:rsidR="000B502B" w:rsidRDefault="00842B2B">
            <w:pPr>
              <w:pStyle w:val="aa"/>
              <w:spacing w:before="0" w:beforeAutospacing="0" w:after="0" w:afterAutospacing="0"/>
              <w:jc w:val="both"/>
              <w:rPr>
                <w:b/>
              </w:rPr>
            </w:pPr>
            <w:r>
              <w:rPr>
                <w:b/>
              </w:rPr>
              <w:t xml:space="preserve">229.9.4. Підприємства, що отримують або здійснюють ввезення на митну територію України товарів (продукції), зазначених у цьому пункті, для їх використання в хімічній, нафтохімічній або добувній промисловості, подають контролюючому органу за основним місцем обліку Довідку про цільове використання таких товарів (продукції). </w:t>
            </w:r>
          </w:p>
          <w:p w:rsidR="000B502B" w:rsidRDefault="00842B2B">
            <w:pPr>
              <w:pStyle w:val="aa"/>
              <w:spacing w:before="0" w:beforeAutospacing="0" w:after="0" w:afterAutospacing="0"/>
              <w:jc w:val="both"/>
              <w:rPr>
                <w:b/>
              </w:rPr>
            </w:pPr>
            <w:r>
              <w:rPr>
                <w:b/>
              </w:rPr>
              <w:t xml:space="preserve">Довідка про цільове використання таких товарів (продукції) подається за кожний квартал – протягом 10 календарних днів, що настають за останнім календарним днем звітного кварталу. </w:t>
            </w:r>
          </w:p>
          <w:p w:rsidR="000B502B" w:rsidRDefault="00842B2B">
            <w:pPr>
              <w:pStyle w:val="aa"/>
              <w:spacing w:before="0" w:beforeAutospacing="0" w:after="0" w:afterAutospacing="0"/>
              <w:jc w:val="both"/>
              <w:rPr>
                <w:b/>
              </w:rPr>
            </w:pPr>
            <w:r>
              <w:rPr>
                <w:b/>
              </w:rPr>
              <w:t>Уточнення даних, зазначених у Довідці про цільове використання, поданій відповідно до цього підпункту, здійснюється шляхом зазначення виправлених даних у Довідці про цільове використання за наступний звітний період.</w:t>
            </w:r>
          </w:p>
          <w:p w:rsidR="000B502B" w:rsidRDefault="00842B2B">
            <w:pPr>
              <w:pStyle w:val="aa"/>
              <w:spacing w:before="0" w:beforeAutospacing="0" w:after="0" w:afterAutospacing="0"/>
              <w:jc w:val="both"/>
              <w:rPr>
                <w:b/>
              </w:rPr>
            </w:pPr>
            <w:r>
              <w:rPr>
                <w:b/>
              </w:rPr>
              <w:t>В Довідці про цільове використання за звітний квартал також надається інформація щодо:</w:t>
            </w:r>
          </w:p>
          <w:p w:rsidR="000B502B" w:rsidRDefault="00842B2B">
            <w:pPr>
              <w:pStyle w:val="aa"/>
              <w:spacing w:before="0" w:beforeAutospacing="0" w:after="0" w:afterAutospacing="0"/>
              <w:jc w:val="both"/>
              <w:rPr>
                <w:b/>
              </w:rPr>
            </w:pPr>
            <w:r>
              <w:rPr>
                <w:b/>
              </w:rPr>
              <w:t>цільового використання у звітному кварталі суб’єктами господарювання хімічної, нафтохімічної або добувної промисловості обсягів зазначених у цьому пункті товарів (продукції), отриманих або ввезених на митну територію України у двох попередніх звітних періодах, не використаних станом на останній календарний день останнього звітного періоду.</w:t>
            </w:r>
          </w:p>
          <w:p w:rsidR="000B502B" w:rsidRDefault="00842B2B">
            <w:pPr>
              <w:pStyle w:val="aa"/>
              <w:spacing w:before="0" w:beforeAutospacing="0" w:after="0" w:afterAutospacing="0"/>
              <w:jc w:val="both"/>
              <w:rPr>
                <w:b/>
              </w:rPr>
            </w:pPr>
            <w:r>
              <w:rPr>
                <w:b/>
              </w:rPr>
              <w:lastRenderedPageBreak/>
              <w:t>Довідки про цільове використання формуються з урахуванням даних:</w:t>
            </w:r>
          </w:p>
          <w:p w:rsidR="000B502B" w:rsidRDefault="00842B2B">
            <w:pPr>
              <w:pStyle w:val="aa"/>
              <w:spacing w:before="0" w:beforeAutospacing="0" w:after="0" w:afterAutospacing="0"/>
              <w:jc w:val="both"/>
              <w:rPr>
                <w:b/>
              </w:rPr>
            </w:pPr>
            <w:r>
              <w:rPr>
                <w:b/>
              </w:rPr>
              <w:t>належно оформлених митних декларації, які підтверджують ввезення на митну територію України товарів (продукції), зазначених у цьому пункті;</w:t>
            </w:r>
          </w:p>
          <w:p w:rsidR="000B502B" w:rsidRDefault="00842B2B">
            <w:pPr>
              <w:pStyle w:val="aa"/>
              <w:spacing w:before="0" w:beforeAutospacing="0" w:after="0" w:afterAutospacing="0"/>
              <w:jc w:val="both"/>
              <w:rPr>
                <w:b/>
              </w:rPr>
            </w:pPr>
            <w:r>
              <w:rPr>
                <w:b/>
              </w:rPr>
              <w:t>акцизних накладних, зареєстрованих в Єдиному реєстрі акцизних накладних, які підтверджують отримання підприємством товарів (продукції), зазначених у цьому пункті, від їх виробника;</w:t>
            </w:r>
          </w:p>
          <w:p w:rsidR="000B502B" w:rsidRDefault="00842B2B">
            <w:pPr>
              <w:pStyle w:val="aa"/>
              <w:spacing w:before="0" w:beforeAutospacing="0" w:after="0" w:afterAutospacing="0"/>
              <w:jc w:val="both"/>
              <w:rPr>
                <w:b/>
              </w:rPr>
            </w:pPr>
            <w:r>
              <w:rPr>
                <w:b/>
              </w:rPr>
              <w:t>акцизних накладних, зареєстрованих в Єдиному реєстрі акцизних накладних, які підтверджують використання підприємством товарів (продукції), зазначених у цьому пункті, в хімічній, нафтохімічній або добувній промисловості.</w:t>
            </w:r>
          </w:p>
        </w:tc>
      </w:tr>
      <w:tr w:rsidR="000B502B">
        <w:tc>
          <w:tcPr>
            <w:tcW w:w="7479" w:type="dxa"/>
          </w:tcPr>
          <w:p w:rsidR="000B502B" w:rsidRDefault="00842B2B">
            <w:pPr>
              <w:pStyle w:val="aa"/>
              <w:spacing w:before="0" w:beforeAutospacing="0" w:after="0" w:afterAutospacing="0"/>
              <w:jc w:val="both"/>
              <w:rPr>
                <w:b/>
              </w:rPr>
            </w:pPr>
            <w:r>
              <w:rPr>
                <w:b/>
              </w:rPr>
              <w:lastRenderedPageBreak/>
              <w:t>Норма відсутня</w:t>
            </w:r>
          </w:p>
        </w:tc>
        <w:tc>
          <w:tcPr>
            <w:tcW w:w="7655" w:type="dxa"/>
          </w:tcPr>
          <w:p w:rsidR="000B502B" w:rsidRDefault="00842B2B">
            <w:pPr>
              <w:pStyle w:val="aa"/>
              <w:spacing w:before="0" w:beforeAutospacing="0" w:after="0" w:afterAutospacing="0"/>
              <w:jc w:val="both"/>
              <w:rPr>
                <w:b/>
              </w:rPr>
            </w:pPr>
            <w:r>
              <w:rPr>
                <w:b/>
              </w:rPr>
              <w:t>229.9.5. Форма та порядок заповнення Довідки про цільове використання затверджуються центральним органом виконавчої влади, що забезпечує формування та реалізує державну фінансову політику.</w:t>
            </w:r>
          </w:p>
        </w:tc>
      </w:tr>
      <w:tr w:rsidR="000B502B">
        <w:tc>
          <w:tcPr>
            <w:tcW w:w="7479" w:type="dxa"/>
          </w:tcPr>
          <w:p w:rsidR="000B502B" w:rsidRDefault="00842B2B">
            <w:pPr>
              <w:pStyle w:val="aa"/>
              <w:spacing w:before="0" w:beforeAutospacing="0" w:after="0" w:afterAutospacing="0"/>
              <w:jc w:val="both"/>
              <w:rPr>
                <w:b/>
              </w:rPr>
            </w:pPr>
            <w:r>
              <w:rPr>
                <w:b/>
              </w:rPr>
              <w:t>Норма відсутня</w:t>
            </w:r>
          </w:p>
        </w:tc>
        <w:tc>
          <w:tcPr>
            <w:tcW w:w="7655" w:type="dxa"/>
          </w:tcPr>
          <w:p w:rsidR="000B502B" w:rsidRDefault="00842B2B">
            <w:pPr>
              <w:pStyle w:val="aa"/>
              <w:spacing w:before="0" w:beforeAutospacing="0" w:after="0" w:afterAutospacing="0"/>
              <w:jc w:val="both"/>
              <w:rPr>
                <w:b/>
              </w:rPr>
            </w:pPr>
            <w:r>
              <w:rPr>
                <w:b/>
              </w:rPr>
              <w:t>229.9.6. У разі відсутності підтвердження цільового використання підприємством товарів (продукції), зазначених у цьому пункті:</w:t>
            </w:r>
          </w:p>
          <w:p w:rsidR="000B502B" w:rsidRDefault="00842B2B">
            <w:pPr>
              <w:pStyle w:val="aa"/>
              <w:spacing w:before="0" w:beforeAutospacing="0" w:after="0" w:afterAutospacing="0"/>
              <w:jc w:val="both"/>
              <w:rPr>
                <w:b/>
              </w:rPr>
            </w:pPr>
            <w:r>
              <w:rPr>
                <w:b/>
              </w:rPr>
              <w:t xml:space="preserve">таким підприємством в місяці, наступному після сплину граничного терміну такого цільового використання, самостійно нараховується акцизний податок, складається декларація акцизного податку та сплачується акцизний податок, виходячи з обсягів таких товарів (продукції), за якими відсутнє підтвердження цільового використання; </w:t>
            </w:r>
          </w:p>
          <w:p w:rsidR="000B502B" w:rsidRDefault="00842B2B">
            <w:pPr>
              <w:pStyle w:val="aa"/>
              <w:spacing w:before="0" w:beforeAutospacing="0" w:after="0" w:afterAutospacing="0"/>
              <w:jc w:val="both"/>
              <w:rPr>
                <w:b/>
              </w:rPr>
            </w:pPr>
            <w:r>
              <w:rPr>
                <w:b/>
              </w:rPr>
              <w:t>з такого підприємства справляється штраф у розмірі:</w:t>
            </w:r>
          </w:p>
          <w:p w:rsidR="000B502B" w:rsidRDefault="00842B2B">
            <w:pPr>
              <w:pStyle w:val="aa"/>
              <w:spacing w:before="0" w:beforeAutospacing="0" w:after="0" w:afterAutospacing="0"/>
              <w:jc w:val="both"/>
              <w:rPr>
                <w:b/>
              </w:rPr>
            </w:pPr>
            <w:r>
              <w:rPr>
                <w:b/>
              </w:rPr>
              <w:t>25 відсотків  суми акцизного податку, яка обчислюється виходячи з обсягів таких товарів (продукції), за якими відсутнє підтвердження цільового використання, у разі якщо штраф нараховано, відображено в декларації акцизного податку та сплачено підприємством самостійно;</w:t>
            </w:r>
          </w:p>
          <w:p w:rsidR="000B502B" w:rsidRDefault="00842B2B">
            <w:pPr>
              <w:pStyle w:val="aa"/>
              <w:spacing w:before="0" w:beforeAutospacing="0" w:after="0" w:afterAutospacing="0"/>
              <w:jc w:val="both"/>
              <w:rPr>
                <w:b/>
              </w:rPr>
            </w:pPr>
            <w:r>
              <w:rPr>
                <w:b/>
              </w:rPr>
              <w:t xml:space="preserve">50 відсотків суми акцизного податку, яка обчислюється виходячи з обсягів таких товарів (продукції), за якими відсутнє підтвердження </w:t>
            </w:r>
            <w:r>
              <w:rPr>
                <w:b/>
              </w:rPr>
              <w:lastRenderedPageBreak/>
              <w:t>цільового використання у разі якщо підприємство не сплатило самостійно штраф у термін, зазначений в цьому пункті.</w:t>
            </w:r>
          </w:p>
        </w:tc>
      </w:tr>
      <w:tr w:rsidR="000B502B">
        <w:tc>
          <w:tcPr>
            <w:tcW w:w="7479" w:type="dxa"/>
          </w:tcPr>
          <w:p w:rsidR="000B502B" w:rsidRDefault="00842B2B">
            <w:pPr>
              <w:pStyle w:val="3"/>
              <w:spacing w:before="0" w:beforeAutospacing="0" w:after="0" w:afterAutospacing="0"/>
              <w:jc w:val="both"/>
              <w:rPr>
                <w:b w:val="0"/>
                <w:sz w:val="24"/>
                <w:szCs w:val="24"/>
                <w:lang w:val="en-US"/>
              </w:rPr>
            </w:pPr>
            <w:r>
              <w:rPr>
                <w:rFonts w:eastAsia="Times New Roman"/>
                <w:b w:val="0"/>
                <w:sz w:val="24"/>
                <w:szCs w:val="24"/>
                <w:lang w:eastAsia="en-US"/>
              </w:rPr>
              <w:lastRenderedPageBreak/>
              <w:t xml:space="preserve">Стаття 230. Акцизні склади </w:t>
            </w:r>
          </w:p>
        </w:tc>
        <w:tc>
          <w:tcPr>
            <w:tcW w:w="7655" w:type="dxa"/>
          </w:tcPr>
          <w:p w:rsidR="000B502B" w:rsidRDefault="00842B2B">
            <w:pPr>
              <w:pStyle w:val="3"/>
              <w:spacing w:before="0" w:beforeAutospacing="0" w:after="0" w:afterAutospacing="0"/>
              <w:jc w:val="both"/>
              <w:rPr>
                <w:b w:val="0"/>
                <w:sz w:val="24"/>
                <w:szCs w:val="24"/>
              </w:rPr>
            </w:pPr>
            <w:r>
              <w:rPr>
                <w:rFonts w:eastAsia="Times New Roman"/>
                <w:b w:val="0"/>
                <w:sz w:val="24"/>
                <w:szCs w:val="24"/>
                <w:lang w:eastAsia="en-US"/>
              </w:rPr>
              <w:t xml:space="preserve">Стаття 230. Акцизні склади </w:t>
            </w:r>
          </w:p>
        </w:tc>
      </w:tr>
      <w:tr w:rsidR="000B502B">
        <w:tc>
          <w:tcPr>
            <w:tcW w:w="7479" w:type="dxa"/>
          </w:tcPr>
          <w:p w:rsidR="000B502B" w:rsidRDefault="00842B2B">
            <w:pPr>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230.1.1. Акцизні склади, на території яких виробляється спирт етиловий, повинні бути обладнані на кожному місці отримання та відпуску спирту етилового, розташованому на акцизному складі, витратомірами-лічильниками спирту етилового, що призначені для безперервного вимірювання, запам'ятовування, фіксування та відображення в електронному вигляді даних про обсяг отримання або відпуску спирту етилового в декалітрах 100-відсоткового спирту, приведених до температури 20° C, та обсяг вмісту </w:t>
            </w:r>
            <w:proofErr w:type="spellStart"/>
            <w:r>
              <w:rPr>
                <w:rFonts w:ascii="Times New Roman" w:eastAsia="Cambria" w:hAnsi="Times New Roman" w:cs="Times New Roman"/>
                <w:sz w:val="24"/>
                <w:szCs w:val="24"/>
              </w:rPr>
              <w:t>денатуруючих</w:t>
            </w:r>
            <w:proofErr w:type="spellEnd"/>
            <w:r>
              <w:rPr>
                <w:rFonts w:ascii="Times New Roman" w:eastAsia="Cambria" w:hAnsi="Times New Roman" w:cs="Times New Roman"/>
                <w:sz w:val="24"/>
                <w:szCs w:val="24"/>
              </w:rPr>
              <w:t xml:space="preserve"> добавок (далі – витратомір-лічильник спирту етилового), зареєстрованими в Єдиному державному реєстрі витратомірів-лічильників обсягу виробленого спирту етилового.</w:t>
            </w:r>
          </w:p>
          <w:p w:rsidR="000B502B" w:rsidRDefault="00842B2B">
            <w:pPr>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w:t>
            </w:r>
          </w:p>
          <w:p w:rsidR="000B502B" w:rsidRDefault="00842B2B">
            <w:pPr>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Порядок ведення Єдиного державного реєстру витратомірів-лічильників обсягу виробленого спирту етилового, передачі облікових даних з них електронними засобами зв'язку до контролюючих органів встановлюється Кабінетом Міністрів України.</w:t>
            </w:r>
          </w:p>
          <w:p w:rsidR="000B502B" w:rsidRDefault="00842B2B">
            <w:pPr>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У такому реєстрі міститься податкова інформація про розпорядників акцизних складів, наявні у них акцизні склади, розташовані на акцизних складах витратоміри-лічильники спирту етилового, їх серійні (ідентифікаційні) номери, а також дані про фактичний обсяг обігу спирту етилового у розрізі кодів товарних </w:t>
            </w:r>
            <w:proofErr w:type="spellStart"/>
            <w:r>
              <w:rPr>
                <w:rFonts w:ascii="Times New Roman" w:eastAsia="Cambria" w:hAnsi="Times New Roman" w:cs="Times New Roman"/>
                <w:sz w:val="24"/>
                <w:szCs w:val="24"/>
              </w:rPr>
              <w:t>підкатегорій</w:t>
            </w:r>
            <w:proofErr w:type="spellEnd"/>
            <w:r>
              <w:rPr>
                <w:rFonts w:ascii="Times New Roman" w:eastAsia="Cambria" w:hAnsi="Times New Roman" w:cs="Times New Roman"/>
                <w:sz w:val="24"/>
                <w:szCs w:val="24"/>
              </w:rPr>
              <w:t xml:space="preserve"> згідно з УКТ ЗЕД, акцизних складів та розпорядників акцизних складів.</w:t>
            </w:r>
          </w:p>
          <w:p w:rsidR="000B502B" w:rsidRDefault="00842B2B">
            <w:pPr>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Дані про фактичний обсяг обігу спирту етилового у розрізі кодів товарних </w:t>
            </w:r>
            <w:proofErr w:type="spellStart"/>
            <w:r>
              <w:rPr>
                <w:rFonts w:ascii="Times New Roman" w:eastAsia="Cambria" w:hAnsi="Times New Roman" w:cs="Times New Roman"/>
                <w:sz w:val="24"/>
                <w:szCs w:val="24"/>
              </w:rPr>
              <w:t>підкатегорій</w:t>
            </w:r>
            <w:proofErr w:type="spellEnd"/>
            <w:r>
              <w:rPr>
                <w:rFonts w:ascii="Times New Roman" w:eastAsia="Cambria" w:hAnsi="Times New Roman" w:cs="Times New Roman"/>
                <w:sz w:val="24"/>
                <w:szCs w:val="24"/>
              </w:rPr>
              <w:t xml:space="preserve"> згідно з УКТ ЗЕД, акцизних складів та розпорядників акцизних складів зіставляються центральним органом виконавчої влади, що реалізує державну податкову політику, з показниками системи електронного адміністрування реалізації пального та спирту етилового.</w:t>
            </w:r>
          </w:p>
          <w:p w:rsidR="000B502B" w:rsidRDefault="00842B2B">
            <w:pPr>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w:t>
            </w:r>
          </w:p>
        </w:tc>
        <w:tc>
          <w:tcPr>
            <w:tcW w:w="7655" w:type="dxa"/>
          </w:tcPr>
          <w:p w:rsidR="000B502B" w:rsidRDefault="00842B2B">
            <w:pPr>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230.1.1. Акцизні склади, на території яких виробляється спирт етиловий, повинні бути обладнані на кожному місці отримання та відпуску спирту етилового, розташованому на акцизному складі, витратомірами-лічильниками спирту етилового, що призначені для безперервного вимірювання, запам'ятовування, фіксування та відображення в електронному вигляді даних про обсяг отримання або відпуску спирту етилового в декалітрах 100-відсоткового спирту, приведених до температури 20° C, та обсяг вмісту </w:t>
            </w:r>
            <w:proofErr w:type="spellStart"/>
            <w:r>
              <w:rPr>
                <w:rFonts w:ascii="Times New Roman" w:eastAsia="Cambria" w:hAnsi="Times New Roman" w:cs="Times New Roman"/>
                <w:sz w:val="24"/>
                <w:szCs w:val="24"/>
              </w:rPr>
              <w:t>денатуруючих</w:t>
            </w:r>
            <w:proofErr w:type="spellEnd"/>
            <w:r>
              <w:rPr>
                <w:rFonts w:ascii="Times New Roman" w:eastAsia="Cambria" w:hAnsi="Times New Roman" w:cs="Times New Roman"/>
                <w:sz w:val="24"/>
                <w:szCs w:val="24"/>
              </w:rPr>
              <w:t xml:space="preserve"> добавок (далі – витратомір-лічильник спирту етилового), зареєстрованими в Єдиному державному реєстрі витратомірів-лічильників обсягу виробленого спирту етилового.</w:t>
            </w:r>
          </w:p>
          <w:p w:rsidR="000B502B" w:rsidRDefault="00842B2B">
            <w:pPr>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w:t>
            </w:r>
          </w:p>
          <w:p w:rsidR="000B502B" w:rsidRDefault="00842B2B">
            <w:pPr>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Порядок ведення Єдиного державного реєстру витратомірів-лічильників обсягу виробленого спирту етилового, передачі облікових даних з них електронними засобами зв'язку до контролюючих органів встановлюється Кабінетом Міністрів України.</w:t>
            </w:r>
          </w:p>
          <w:p w:rsidR="000B502B" w:rsidRDefault="00842B2B">
            <w:pPr>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У такому реєстрі міститься податкова інформація про розпорядників акцизних складів, наявні у них акцизні склади, розташовані на акцизних складах витратоміри-лічильники спирту етилового, їх серійні (ідентифікаційні) номери, а також дані про фактичний обсяг обігу спирту етилового у розрізі кодів товарних </w:t>
            </w:r>
            <w:proofErr w:type="spellStart"/>
            <w:r>
              <w:rPr>
                <w:rFonts w:ascii="Times New Roman" w:eastAsia="Cambria" w:hAnsi="Times New Roman" w:cs="Times New Roman"/>
                <w:sz w:val="24"/>
                <w:szCs w:val="24"/>
              </w:rPr>
              <w:t>підкатегорій</w:t>
            </w:r>
            <w:proofErr w:type="spellEnd"/>
            <w:r>
              <w:rPr>
                <w:rFonts w:ascii="Times New Roman" w:eastAsia="Cambria" w:hAnsi="Times New Roman" w:cs="Times New Roman"/>
                <w:sz w:val="24"/>
                <w:szCs w:val="24"/>
              </w:rPr>
              <w:t xml:space="preserve"> згідно з УКТ ЗЕД, акцизних складів та розпорядників акцизних складів.</w:t>
            </w:r>
          </w:p>
          <w:p w:rsidR="000B502B" w:rsidRDefault="00842B2B">
            <w:pPr>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 xml:space="preserve">Дані про фактичний обсяг обігу спирту етилового у розрізі кодів товарних </w:t>
            </w:r>
            <w:proofErr w:type="spellStart"/>
            <w:r>
              <w:rPr>
                <w:rFonts w:ascii="Times New Roman" w:eastAsia="Cambria" w:hAnsi="Times New Roman" w:cs="Times New Roman"/>
                <w:sz w:val="24"/>
                <w:szCs w:val="24"/>
              </w:rPr>
              <w:t>підкатегорій</w:t>
            </w:r>
            <w:proofErr w:type="spellEnd"/>
            <w:r>
              <w:rPr>
                <w:rFonts w:ascii="Times New Roman" w:eastAsia="Cambria" w:hAnsi="Times New Roman" w:cs="Times New Roman"/>
                <w:sz w:val="24"/>
                <w:szCs w:val="24"/>
              </w:rPr>
              <w:t xml:space="preserve"> згідно з УКТ ЗЕД, акцизних складів та розпорядників акцизних складів зіставляються центральним органом виконавчої влади, що реалізує державну податкову політику, з показниками системи електронного адміністрування реалізації пального та спирту етилового.</w:t>
            </w:r>
          </w:p>
          <w:p w:rsidR="000B502B" w:rsidRDefault="00842B2B">
            <w:pPr>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w:t>
            </w:r>
          </w:p>
        </w:tc>
      </w:tr>
      <w:tr w:rsidR="000B502B">
        <w:tc>
          <w:tcPr>
            <w:tcW w:w="7479" w:type="dxa"/>
          </w:tcPr>
          <w:p w:rsidR="000B502B" w:rsidRDefault="00842B2B">
            <w:pPr>
              <w:spacing w:after="0" w:line="240" w:lineRule="auto"/>
              <w:rPr>
                <w:rFonts w:ascii="Times New Roman" w:eastAsia="Cambria" w:hAnsi="Times New Roman" w:cs="Times New Roman"/>
                <w:b/>
                <w:sz w:val="24"/>
                <w:szCs w:val="24"/>
              </w:rPr>
            </w:pPr>
            <w:r>
              <w:rPr>
                <w:rFonts w:ascii="Times New Roman" w:eastAsia="Cambria" w:hAnsi="Times New Roman" w:cs="Times New Roman"/>
                <w:b/>
                <w:sz w:val="24"/>
                <w:szCs w:val="24"/>
              </w:rPr>
              <w:lastRenderedPageBreak/>
              <w:t>Норма відсутня</w:t>
            </w:r>
          </w:p>
        </w:tc>
        <w:tc>
          <w:tcPr>
            <w:tcW w:w="7655" w:type="dxa"/>
          </w:tcPr>
          <w:p w:rsidR="000B502B" w:rsidRDefault="00842B2B">
            <w:pPr>
              <w:spacing w:after="0" w:line="240" w:lineRule="auto"/>
              <w:ind w:firstLine="207"/>
              <w:jc w:val="both"/>
              <w:rPr>
                <w:rFonts w:ascii="Times New Roman" w:eastAsia="Cambria" w:hAnsi="Times New Roman" w:cs="Times New Roman"/>
                <w:b/>
                <w:sz w:val="24"/>
                <w:szCs w:val="24"/>
              </w:rPr>
            </w:pPr>
            <w:r>
              <w:rPr>
                <w:rFonts w:ascii="Times New Roman" w:eastAsia="Cambria" w:hAnsi="Times New Roman" w:cs="Times New Roman"/>
                <w:b/>
                <w:sz w:val="24"/>
                <w:szCs w:val="24"/>
              </w:rPr>
              <w:t>Проведення пломбування місць можливого доступу до спирту на акцизних складах, на території яких виробляється спирт етиловий,  пломбування засобів вимірювальної техніки для обліку спирту етилового на території підприємств, які є виробниками продукції, зазначеної у підпунктах «д» – «ж»</w:t>
            </w:r>
            <w:r>
              <w:rPr>
                <w:rFonts w:ascii="Times New Roman" w:eastAsia="Cambria" w:hAnsi="Times New Roman" w:cs="Times New Roman"/>
                <w:sz w:val="28"/>
                <w:szCs w:val="28"/>
              </w:rPr>
              <w:t xml:space="preserve"> </w:t>
            </w:r>
            <w:r>
              <w:rPr>
                <w:rFonts w:ascii="Times New Roman" w:eastAsia="Cambria" w:hAnsi="Times New Roman" w:cs="Times New Roman"/>
                <w:b/>
                <w:sz w:val="24"/>
                <w:szCs w:val="24"/>
              </w:rPr>
              <w:t xml:space="preserve">пункту 229.1 статті 229 Кодексу, здійснюється представниками </w:t>
            </w:r>
            <w:r>
              <w:rPr>
                <w:rFonts w:ascii="Times New Roman" w:hAnsi="Times New Roman" w:cs="Times New Roman"/>
                <w:b/>
                <w:sz w:val="24"/>
                <w:szCs w:val="24"/>
              </w:rPr>
              <w:t xml:space="preserve">центрального органу виконавчої влади, що реалізує державну податкову політику, </w:t>
            </w:r>
            <w:r>
              <w:rPr>
                <w:rFonts w:ascii="Times New Roman" w:eastAsia="Cambria" w:hAnsi="Times New Roman" w:cs="Times New Roman"/>
                <w:b/>
                <w:sz w:val="24"/>
                <w:szCs w:val="24"/>
              </w:rPr>
              <w:t xml:space="preserve">в порядку, затвердженому центральним органом виконавчої влади, що забезпечує формування та реалізує державну фінансову політику. </w:t>
            </w:r>
          </w:p>
          <w:p w:rsidR="000B502B" w:rsidRDefault="00842B2B">
            <w:pPr>
              <w:spacing w:after="0" w:line="240" w:lineRule="auto"/>
              <w:ind w:firstLine="207"/>
              <w:jc w:val="both"/>
              <w:rPr>
                <w:rFonts w:ascii="Times New Roman" w:eastAsia="Cambria" w:hAnsi="Times New Roman" w:cs="Times New Roman"/>
                <w:b/>
                <w:sz w:val="24"/>
                <w:szCs w:val="24"/>
              </w:rPr>
            </w:pPr>
            <w:r>
              <w:rPr>
                <w:rFonts w:ascii="Times New Roman" w:eastAsia="Cambria" w:hAnsi="Times New Roman" w:cs="Times New Roman"/>
                <w:b/>
                <w:sz w:val="24"/>
                <w:szCs w:val="24"/>
              </w:rPr>
              <w:t xml:space="preserve">Такий порядок встановлює вимоги до пломбування обладнання, устаткування, спиртових комунікацій, засобів вимірювальної  техніки для обліку спирту етилового та продукції, для виробництва якої використовується отриманий спирт етиловий (в тому числі витратомірів-лічильників). </w:t>
            </w:r>
          </w:p>
        </w:tc>
      </w:tr>
      <w:tr w:rsidR="000B502B">
        <w:tc>
          <w:tcPr>
            <w:tcW w:w="7479" w:type="dxa"/>
          </w:tcPr>
          <w:p w:rsidR="000B502B" w:rsidRDefault="00842B2B">
            <w:pPr>
              <w:pStyle w:val="aa"/>
              <w:spacing w:before="0" w:beforeAutospacing="0" w:after="0" w:afterAutospacing="0"/>
              <w:jc w:val="both"/>
              <w:rPr>
                <w:lang w:eastAsia="en-US"/>
              </w:rPr>
            </w:pPr>
            <w:r>
              <w:rPr>
                <w:lang w:eastAsia="en-US"/>
              </w:rPr>
              <w:t xml:space="preserve">230.1.2. </w:t>
            </w:r>
          </w:p>
          <w:p w:rsidR="000B502B" w:rsidRDefault="00842B2B">
            <w:pPr>
              <w:pStyle w:val="aa"/>
              <w:spacing w:before="0" w:beforeAutospacing="0" w:after="0" w:afterAutospacing="0"/>
              <w:jc w:val="both"/>
              <w:rPr>
                <w:lang w:eastAsia="en-US"/>
              </w:rPr>
            </w:pPr>
            <w:r>
              <w:rPr>
                <w:lang w:eastAsia="en-US"/>
              </w:rPr>
              <w:t>…</w:t>
            </w:r>
          </w:p>
          <w:p w:rsidR="000B502B" w:rsidRDefault="00842B2B">
            <w:pPr>
              <w:pStyle w:val="aa"/>
              <w:spacing w:before="0" w:beforeAutospacing="0" w:after="0" w:afterAutospacing="0"/>
              <w:jc w:val="both"/>
              <w:rPr>
                <w:b/>
                <w:lang w:eastAsia="en-US"/>
              </w:rPr>
            </w:pPr>
            <w:r>
              <w:rPr>
                <w:b/>
                <w:lang w:eastAsia="en-US"/>
              </w:rPr>
              <w:t>Акцизні склади, на яких здійснюються виключно зберігання та реалізація пального, що отримується та реалізується виключно у споживчій тарі без зміни розфасовки, а також скрапленого газу природного, бензолу, метанолу, не обладнуються витратомірами-лічильниками та рівнемірами-лічильниками.</w:t>
            </w:r>
          </w:p>
          <w:p w:rsidR="000B502B" w:rsidRDefault="000B502B">
            <w:pPr>
              <w:pStyle w:val="aa"/>
              <w:spacing w:before="0" w:beforeAutospacing="0" w:after="0" w:afterAutospacing="0"/>
              <w:jc w:val="both"/>
              <w:rPr>
                <w:lang w:eastAsia="en-US"/>
              </w:rPr>
            </w:pPr>
          </w:p>
          <w:p w:rsidR="000B502B" w:rsidRDefault="000B502B">
            <w:pPr>
              <w:pStyle w:val="aa"/>
              <w:spacing w:before="0" w:beforeAutospacing="0" w:after="0" w:afterAutospacing="0"/>
              <w:jc w:val="both"/>
              <w:rPr>
                <w:lang w:eastAsia="en-US"/>
              </w:rPr>
            </w:pPr>
          </w:p>
          <w:p w:rsidR="000B502B" w:rsidRDefault="000B502B">
            <w:pPr>
              <w:pStyle w:val="aa"/>
              <w:spacing w:before="0" w:beforeAutospacing="0" w:after="0" w:afterAutospacing="0"/>
              <w:jc w:val="both"/>
              <w:rPr>
                <w:lang w:eastAsia="en-US"/>
              </w:rPr>
            </w:pPr>
          </w:p>
          <w:p w:rsidR="000B502B" w:rsidRDefault="000B502B">
            <w:pPr>
              <w:pStyle w:val="aa"/>
              <w:spacing w:before="0" w:beforeAutospacing="0" w:after="0" w:afterAutospacing="0"/>
              <w:jc w:val="both"/>
              <w:rPr>
                <w:lang w:eastAsia="en-US"/>
              </w:rPr>
            </w:pPr>
          </w:p>
          <w:p w:rsidR="000B502B" w:rsidRDefault="000B502B">
            <w:pPr>
              <w:pStyle w:val="aa"/>
              <w:spacing w:before="0" w:beforeAutospacing="0" w:after="0" w:afterAutospacing="0"/>
              <w:jc w:val="both"/>
              <w:rPr>
                <w:lang w:eastAsia="en-US"/>
              </w:rPr>
            </w:pPr>
          </w:p>
          <w:p w:rsidR="000B502B" w:rsidRDefault="000B502B">
            <w:pPr>
              <w:pStyle w:val="aa"/>
              <w:spacing w:before="0" w:beforeAutospacing="0" w:after="0" w:afterAutospacing="0"/>
              <w:jc w:val="both"/>
            </w:pPr>
          </w:p>
        </w:tc>
        <w:tc>
          <w:tcPr>
            <w:tcW w:w="7655" w:type="dxa"/>
          </w:tcPr>
          <w:p w:rsidR="000B502B" w:rsidRDefault="00842B2B">
            <w:pPr>
              <w:pStyle w:val="aa"/>
              <w:spacing w:before="0" w:beforeAutospacing="0" w:after="0" w:afterAutospacing="0"/>
              <w:jc w:val="both"/>
              <w:rPr>
                <w:lang w:eastAsia="en-US"/>
              </w:rPr>
            </w:pPr>
            <w:r>
              <w:rPr>
                <w:lang w:eastAsia="en-US"/>
              </w:rPr>
              <w:t>230.1.2.</w:t>
            </w:r>
          </w:p>
          <w:p w:rsidR="000B502B" w:rsidRDefault="00842B2B">
            <w:pPr>
              <w:pStyle w:val="aa"/>
              <w:spacing w:before="0" w:beforeAutospacing="0" w:after="0" w:afterAutospacing="0"/>
              <w:jc w:val="both"/>
              <w:rPr>
                <w:lang w:eastAsia="en-US"/>
              </w:rPr>
            </w:pPr>
            <w:r>
              <w:rPr>
                <w:lang w:eastAsia="en-US"/>
              </w:rPr>
              <w:t xml:space="preserve">… </w:t>
            </w:r>
          </w:p>
          <w:p w:rsidR="000B502B" w:rsidRDefault="00842B2B">
            <w:pPr>
              <w:pStyle w:val="aa"/>
              <w:spacing w:before="0" w:beforeAutospacing="0" w:after="0" w:afterAutospacing="0"/>
              <w:jc w:val="both"/>
              <w:rPr>
                <w:b/>
                <w:lang w:eastAsia="en-US"/>
              </w:rPr>
            </w:pPr>
            <w:r>
              <w:rPr>
                <w:b/>
                <w:lang w:eastAsia="en-US"/>
              </w:rPr>
              <w:t>Витратомірами-лічильниками та рівнемірами-лічильниками не обладнуються акцизні склади, на яких здійснюються виключно зберігання та реалізація:</w:t>
            </w:r>
          </w:p>
          <w:p w:rsidR="000B502B" w:rsidRDefault="00842B2B">
            <w:pPr>
              <w:pStyle w:val="aa"/>
              <w:spacing w:before="0" w:beforeAutospacing="0" w:after="0" w:afterAutospacing="0"/>
              <w:jc w:val="both"/>
              <w:rPr>
                <w:b/>
                <w:lang w:eastAsia="en-US"/>
              </w:rPr>
            </w:pPr>
            <w:r>
              <w:rPr>
                <w:b/>
                <w:lang w:eastAsia="en-US"/>
              </w:rPr>
              <w:t>пального, що отримується та реалізується у споживчій тарі без зміни розфасовки;</w:t>
            </w:r>
          </w:p>
          <w:p w:rsidR="000B502B" w:rsidRDefault="00842B2B">
            <w:pPr>
              <w:pStyle w:val="aa"/>
              <w:spacing w:before="0" w:beforeAutospacing="0" w:after="0" w:afterAutospacing="0"/>
              <w:jc w:val="both"/>
              <w:rPr>
                <w:b/>
                <w:lang w:eastAsia="en-US"/>
              </w:rPr>
            </w:pPr>
            <w:r>
              <w:rPr>
                <w:b/>
                <w:lang w:eastAsia="en-US"/>
              </w:rPr>
              <w:t>скрапленого газу природного, бензолу, метанолу технічного (метилового спирту);</w:t>
            </w:r>
          </w:p>
          <w:p w:rsidR="000B502B" w:rsidRDefault="00842B2B">
            <w:pPr>
              <w:pStyle w:val="aa"/>
              <w:spacing w:before="0" w:beforeAutospacing="0" w:after="0" w:afterAutospacing="0"/>
              <w:jc w:val="both"/>
              <w:rPr>
                <w:b/>
                <w:lang w:eastAsia="en-US"/>
              </w:rPr>
            </w:pPr>
            <w:r>
              <w:rPr>
                <w:b/>
              </w:rPr>
              <w:t>розчинників або розріджувачів на основі метанолу, інших готових сумішей на основі метанолу;</w:t>
            </w:r>
          </w:p>
          <w:p w:rsidR="000B502B" w:rsidRDefault="00842B2B">
            <w:pPr>
              <w:pStyle w:val="aa"/>
              <w:spacing w:before="0" w:beforeAutospacing="0" w:after="0" w:afterAutospacing="0"/>
              <w:jc w:val="both"/>
              <w:rPr>
                <w:lang w:eastAsia="en-US"/>
              </w:rPr>
            </w:pPr>
            <w:r>
              <w:rPr>
                <w:b/>
              </w:rPr>
              <w:t>товарів (продукції), до складу яких входить хоча б один компонент, що є підакцизним товаром, зазначеним у підпункті 215.3.4 пункту 215.3 статті 215 цього розділу</w:t>
            </w:r>
            <w:r>
              <w:rPr>
                <w:b/>
                <w:lang w:eastAsia="en-US"/>
              </w:rPr>
              <w:t>.</w:t>
            </w:r>
          </w:p>
        </w:tc>
      </w:tr>
      <w:tr w:rsidR="000B502B">
        <w:tc>
          <w:tcPr>
            <w:tcW w:w="7479" w:type="dxa"/>
          </w:tcPr>
          <w:p w:rsidR="000B502B" w:rsidRDefault="00842B2B">
            <w:pPr>
              <w:pStyle w:val="aa"/>
              <w:spacing w:before="0" w:beforeAutospacing="0" w:after="0" w:afterAutospacing="0"/>
              <w:jc w:val="both"/>
            </w:pPr>
            <w:r>
              <w:t xml:space="preserve">230.11. Основним завданням представника контролюючого органу на акцизних складах є здійснення постійного безпосереднього контролю за дотриманням установленого порядку виробництва, зберігання, відпуску спирту етилового, горілки та лікеро-горілчаних виробів і </w:t>
            </w:r>
            <w:r>
              <w:lastRenderedPageBreak/>
              <w:t xml:space="preserve">сплати податку, вжиття заходів для недопущення порушення законодавства України. </w:t>
            </w:r>
          </w:p>
          <w:p w:rsidR="000B502B" w:rsidRDefault="00842B2B">
            <w:pPr>
              <w:pStyle w:val="aa"/>
              <w:spacing w:before="0" w:beforeAutospacing="0" w:after="0" w:afterAutospacing="0"/>
              <w:jc w:val="both"/>
              <w:rPr>
                <w:b/>
                <w:lang w:eastAsia="en-US"/>
              </w:rPr>
            </w:pPr>
            <w:r>
              <w:rPr>
                <w:b/>
              </w:rPr>
              <w:t>Норма відсутня</w:t>
            </w:r>
          </w:p>
        </w:tc>
        <w:tc>
          <w:tcPr>
            <w:tcW w:w="7655" w:type="dxa"/>
          </w:tcPr>
          <w:p w:rsidR="000B502B" w:rsidRDefault="00842B2B">
            <w:pPr>
              <w:pStyle w:val="aa"/>
              <w:spacing w:before="0" w:beforeAutospacing="0" w:after="0" w:afterAutospacing="0"/>
              <w:jc w:val="both"/>
            </w:pPr>
            <w:r>
              <w:lastRenderedPageBreak/>
              <w:t xml:space="preserve">230.11. Основним завданням представника контролюючого органу на акцизних складах є здійснення постійного безпосереднього контролю за дотриманням установленого порядку виробництва, зберігання, відпуску </w:t>
            </w:r>
            <w:r>
              <w:lastRenderedPageBreak/>
              <w:t xml:space="preserve">спирту етилового, горілки та лікеро-горілчаних виробів і сплати податку, вжиття заходів для недопущення порушення законодавства України. </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Постійний контроль за дотриманням установленого порядку виробництва, зберігання, відпуску спирту етилового і сплати податку здійснюється представником контролюючого органу дистанційно, з використанням засобів електронного зв’язку за умови їх цілодобового підключення до системи відеоспостереження та/або безпосередньо на акцизному складі.</w:t>
            </w:r>
          </w:p>
          <w:p w:rsidR="000B502B" w:rsidRDefault="00842B2B">
            <w:pPr>
              <w:pStyle w:val="aa"/>
              <w:spacing w:before="0" w:beforeAutospacing="0" w:after="0" w:afterAutospacing="0"/>
              <w:jc w:val="both"/>
              <w:rPr>
                <w:b/>
              </w:rPr>
            </w:pPr>
            <w:r>
              <w:rPr>
                <w:b/>
              </w:rPr>
              <w:t>Порядок постійного дистанційного контролю за дотриманням установленого порядку виробництва, зберігання, відпуску спирту етилового представником контролюючого органу на акцизних складах за допомогою системи відеоспостереження визначається центральним органом виконавчої влади, що забезпечує формування та реалізує державну фінансову політику.</w:t>
            </w:r>
          </w:p>
          <w:p w:rsidR="000B502B" w:rsidRDefault="000B502B">
            <w:pPr>
              <w:pStyle w:val="aa"/>
              <w:spacing w:before="0" w:beforeAutospacing="0" w:after="0" w:afterAutospacing="0"/>
              <w:jc w:val="both"/>
              <w:rPr>
                <w:b/>
                <w:lang w:eastAsia="en-US"/>
              </w:rPr>
            </w:pPr>
          </w:p>
        </w:tc>
      </w:tr>
      <w:tr w:rsidR="000B502B">
        <w:tc>
          <w:tcPr>
            <w:tcW w:w="7479" w:type="dxa"/>
          </w:tcPr>
          <w:p w:rsidR="000B502B" w:rsidRDefault="00842B2B">
            <w:pPr>
              <w:pStyle w:val="3"/>
              <w:spacing w:before="0" w:beforeAutospacing="0" w:after="0" w:afterAutospacing="0"/>
              <w:jc w:val="center"/>
              <w:rPr>
                <w:b w:val="0"/>
                <w:sz w:val="24"/>
                <w:szCs w:val="24"/>
              </w:rPr>
            </w:pPr>
            <w:r>
              <w:rPr>
                <w:rFonts w:eastAsia="Times New Roman"/>
                <w:b w:val="0"/>
                <w:sz w:val="24"/>
                <w:szCs w:val="24"/>
              </w:rPr>
              <w:lastRenderedPageBreak/>
              <w:t>Підрозділ 5. Особливості справляння акцизного податку та екологічного податку</w:t>
            </w:r>
          </w:p>
        </w:tc>
        <w:tc>
          <w:tcPr>
            <w:tcW w:w="7655" w:type="dxa"/>
          </w:tcPr>
          <w:p w:rsidR="000B502B" w:rsidRDefault="00842B2B">
            <w:pPr>
              <w:pStyle w:val="3"/>
              <w:spacing w:before="0" w:beforeAutospacing="0" w:after="0" w:afterAutospacing="0"/>
              <w:jc w:val="center"/>
              <w:rPr>
                <w:b w:val="0"/>
                <w:sz w:val="24"/>
                <w:szCs w:val="24"/>
              </w:rPr>
            </w:pPr>
            <w:r>
              <w:rPr>
                <w:rFonts w:eastAsia="Times New Roman"/>
                <w:b w:val="0"/>
                <w:sz w:val="24"/>
                <w:szCs w:val="24"/>
              </w:rPr>
              <w:t>Підрозділ 5. Особливості справляння акцизного податку та екологічного податку</w:t>
            </w:r>
          </w:p>
        </w:tc>
      </w:tr>
      <w:tr w:rsidR="000B502B">
        <w:tc>
          <w:tcPr>
            <w:tcW w:w="7479" w:type="dxa"/>
          </w:tcPr>
          <w:p w:rsidR="000B502B" w:rsidRDefault="00842B2B">
            <w:pPr>
              <w:pStyle w:val="aa"/>
              <w:spacing w:before="0" w:beforeAutospacing="0" w:after="0" w:afterAutospacing="0"/>
              <w:jc w:val="both"/>
              <w:rPr>
                <w:b/>
              </w:rPr>
            </w:pPr>
            <w:r>
              <w:rPr>
                <w:b/>
              </w:rPr>
              <w:t>Норма відсутня</w:t>
            </w:r>
          </w:p>
        </w:tc>
        <w:tc>
          <w:tcPr>
            <w:tcW w:w="7655" w:type="dxa"/>
          </w:tcPr>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37. Суб’єкти господарювання, які до дня набуття чинності підпункту «б» пункту 215.1 статті 215 цього Кодексу, не підпадали, а після дня набуття чинності підпункту «б» пункту 215.1 статті 215 цього Кодексу підпадають під визначення платників податку відповідно до підпункту 212.1.15 пункту 212.1 статті 212 цього Кодексу, які здійснюють ввезення на митну територію України або реалізацію зазначених у цьому пункті товарів (продукції), суб’єкти господарювання, які використовують виключно для власного споживання товари (продукцію), отримані або ввезені за нульовою ставкою акцизного податку, відповідно до пункту 229.9 статті 229 цього Кодексу зобов'язані:</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1) протягом 20 календарних днів з такого дня – зареєструватися платниками акцизного податку з реалізації пального та зареєструвати в системі електронного адміністрування реалізації </w:t>
            </w:r>
            <w:r>
              <w:rPr>
                <w:rFonts w:ascii="Times New Roman" w:hAnsi="Times New Roman" w:cs="Times New Roman"/>
                <w:b/>
                <w:sz w:val="24"/>
                <w:szCs w:val="24"/>
              </w:rPr>
              <w:lastRenderedPageBreak/>
              <w:t>пального та спирту етилового всі акцизні склади, розпорядниками яких є такі платники податку;</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протягом 90 календарних днів з такого дня – обладнати акцизні склади (крім акцизних складів, на яких здійснюються виключно зберігання та реалізація товарів (продукції), до складу яких входить хоча б один компонент, що є підакцизним товаром, зазначеним у підпункті 215.3.4 пункту 215.3 цього Кодексу), витратомірами-лічильниками та/або рівнемірами-лічильниками та зареєструвати їх у Єдиному державному реєстрі витратомірів-лічильників та рівнемірів-лічильників рівня пального у резервуарі;</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2) протягом 30 календарних днів, починаючи з дня набуття чинності підпункту «б» пункту 215.1 статті 215 цього Кодексу, мають право одноразово без сплати акцизного податку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день набуття чинності підпункту «б» пункту 215.1 статті 215 цього Кодексу за кожним кодом товарної </w:t>
            </w:r>
            <w:proofErr w:type="spellStart"/>
            <w:r>
              <w:rPr>
                <w:rFonts w:ascii="Times New Roman" w:hAnsi="Times New Roman" w:cs="Times New Roman"/>
                <w:b/>
                <w:sz w:val="24"/>
                <w:szCs w:val="24"/>
              </w:rPr>
              <w:t>підкатегорії</w:t>
            </w:r>
            <w:proofErr w:type="spellEnd"/>
            <w:r>
              <w:rPr>
                <w:rFonts w:ascii="Times New Roman" w:hAnsi="Times New Roman" w:cs="Times New Roman"/>
                <w:b/>
                <w:sz w:val="24"/>
                <w:szCs w:val="24"/>
              </w:rPr>
              <w:t xml:space="preserve"> пального згідно з УКТ ЗЕД та кожним акцизним складом / акцизним складом пересувним у разі подальшого використання зазначеного у цьому пункті пального виключно для:</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власного споживання товарів (продукції), до складу яких входить хоча б один компонент, що є підакцизним товаром, зазначеним у підпункті 215.3.4 пункту 215.3 статті 215 цього Кодексу. Ця норма не поширюється на використання таких товарів (продукції)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w:t>
            </w:r>
            <w:proofErr w:type="spellStart"/>
            <w:r>
              <w:rPr>
                <w:rFonts w:ascii="Times New Roman" w:hAnsi="Times New Roman" w:cs="Times New Roman"/>
                <w:b/>
                <w:sz w:val="24"/>
                <w:szCs w:val="24"/>
              </w:rPr>
              <w:t>кривошипно</w:t>
            </w:r>
            <w:proofErr w:type="spellEnd"/>
            <w:r>
              <w:rPr>
                <w:rFonts w:ascii="Times New Roman" w:hAnsi="Times New Roman" w:cs="Times New Roman"/>
                <w:b/>
                <w:sz w:val="24"/>
                <w:szCs w:val="24"/>
              </w:rPr>
              <w:t>-шатунним механізмом;</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власного споживання пального, що було передано (відпущено, відвантажено) платником акцизного податку таким суб'єктам </w:t>
            </w:r>
            <w:r>
              <w:rPr>
                <w:rFonts w:ascii="Times New Roman" w:hAnsi="Times New Roman" w:cs="Times New Roman"/>
                <w:b/>
                <w:sz w:val="24"/>
                <w:szCs w:val="24"/>
              </w:rPr>
              <w:lastRenderedPageBreak/>
              <w:t>господарювання або ввезено таким суб'єктом господарювання на митну територію України. Ця норма не поширюється на пальне, зазначене в абзаці другому цього підпункту;</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промислової переробки (крім виробництва підакцизних товарів, зазначених у підпункті 215.3.4 пункту 215.3 статті 215 цього Кодексу);</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3) протягом 45 календарних днів, починаючи з дня набуття чинності підпункту «б» пункту 215.1 статті 215 цього Кодексу, зобов'язані скласти акцизні накладні на загальні обсяги пального, зазначеного у підпункті 2 цього пункту, використаного для власного споживання та/або промислової переробки у період з дня набуття чинності підпункту «б» пункту 215.1 статті 215 цього Кодексу до дати, визначеної у підпункті 2 цього пункту, за кожним акцизним складом / акцизним складом пересувним та кожним кодом товарної </w:t>
            </w:r>
            <w:proofErr w:type="spellStart"/>
            <w:r>
              <w:rPr>
                <w:rFonts w:ascii="Times New Roman" w:hAnsi="Times New Roman" w:cs="Times New Roman"/>
                <w:b/>
                <w:sz w:val="24"/>
                <w:szCs w:val="24"/>
              </w:rPr>
              <w:t>підкатегорії</w:t>
            </w:r>
            <w:proofErr w:type="spellEnd"/>
            <w:r>
              <w:rPr>
                <w:rFonts w:ascii="Times New Roman" w:hAnsi="Times New Roman" w:cs="Times New Roman"/>
                <w:b/>
                <w:sz w:val="24"/>
                <w:szCs w:val="24"/>
              </w:rPr>
              <w:t xml:space="preserve"> згідно з УКТ ЗЕД і зареєструвати їх у Єдиному реєстрі акцизних накладних;</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 протягом 30 календарних днів, починаючи з дня набуття чинності підпункту «б» пункту 215.1 статті 215 цього Кодексу, мають право одноразово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день набуття чинності підпункту «б» пункту 215.1 статті 215 цього Кодексу за кожним кодом товарної </w:t>
            </w:r>
            <w:proofErr w:type="spellStart"/>
            <w:r>
              <w:rPr>
                <w:rFonts w:ascii="Times New Roman" w:hAnsi="Times New Roman" w:cs="Times New Roman"/>
                <w:b/>
                <w:sz w:val="24"/>
                <w:szCs w:val="24"/>
              </w:rPr>
              <w:t>підкатегорії</w:t>
            </w:r>
            <w:proofErr w:type="spellEnd"/>
            <w:r>
              <w:rPr>
                <w:rFonts w:ascii="Times New Roman" w:hAnsi="Times New Roman" w:cs="Times New Roman"/>
                <w:b/>
                <w:sz w:val="24"/>
                <w:szCs w:val="24"/>
              </w:rPr>
              <w:t xml:space="preserve"> пального згідно з УКТ ЗЕД та кожним акцизним складом / акцизним складом пересувним, яка реєструється зі списанням з облікової картки грошових коштів сплаченого акцизного податку. Ця норма застосовується до обсягів пального, що в подальшому буде використовуватися для інших цілей, ніж зазначені у підпункті 2 цього пункту;</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5) протягом 45 календарних днів, починаючи з дня набуття чинності підпункту «б» пункту 215.1 статті 215 цього Кодексу, зобов’язані скласти акцизні накладні на загальні обсяги пального, зазначеного </w:t>
            </w:r>
            <w:r>
              <w:rPr>
                <w:rFonts w:ascii="Times New Roman" w:hAnsi="Times New Roman" w:cs="Times New Roman"/>
                <w:b/>
                <w:sz w:val="24"/>
                <w:szCs w:val="24"/>
              </w:rPr>
              <w:lastRenderedPageBreak/>
              <w:t xml:space="preserve">у підпункті 4 цього пункту, реалізованого у період з дня набуття чинності підпункту «б» пункту 215.1 статті 215 цього Кодексу, до дати, визначеної у підпункті 4 цього пункту, за кожним акцизним складом / акцизним складом пересувним та кожним кодом товарної </w:t>
            </w:r>
            <w:proofErr w:type="spellStart"/>
            <w:r>
              <w:rPr>
                <w:rFonts w:ascii="Times New Roman" w:hAnsi="Times New Roman" w:cs="Times New Roman"/>
                <w:b/>
                <w:sz w:val="24"/>
                <w:szCs w:val="24"/>
              </w:rPr>
              <w:t>підкатегорії</w:t>
            </w:r>
            <w:proofErr w:type="spellEnd"/>
            <w:r>
              <w:rPr>
                <w:rFonts w:ascii="Times New Roman" w:hAnsi="Times New Roman" w:cs="Times New Roman"/>
                <w:b/>
                <w:sz w:val="24"/>
                <w:szCs w:val="24"/>
              </w:rPr>
              <w:t xml:space="preserve"> згідно з УКТ ЗЕД, і зареєструвати їх у Єдиному реєстрі акцизних накладних.</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До суб’єктів господарювання, зазначених у цьому пункті:</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протягом 20 календарних днів, починаючи з дня набуття чинності підпункту «б» пункту 215.1 статті 215 цього Кодексу, не застосовуються штрафні санкції, передбачені пунктом 117.3 статті 117 (за здійснення операцій з реалізації пального без реєстрації платниками акцизного податку), пунктами 128-1.2 (за відсутність реєстрації акцизних складів) та 128-1.3 (за неподання електронних документів з акцизних складів) статті 128-1 цього Кодексу;</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протягом 45 календарних днів, починаючи з дня набуття чинності підпункту «б» пункту 215.1 статті 215 цього Кодексу, не застосовуються штрафні санкції, передбачені статтею 120-2 цього Кодексу за порушення строків реєстрації акцизних накладних, складених на операції з реалізації пального, здійснені з дня набуття чинності підпункту «б» пункту 215.1 статті 215 цього Кодексу до дати, визначеної у підпунктах 2 та 5 цього пункту;</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протягом 90 календарних днів, починаючи з дня набуття чинності підпункту «б» пункту 215.1 статті 215 цього Кодексу, не застосовуються штрафні санкції, передбачені пунктом    128-1.1 статті 128-1 цього Кодексу за </w:t>
            </w:r>
            <w:proofErr w:type="spellStart"/>
            <w:r>
              <w:rPr>
                <w:rFonts w:ascii="Times New Roman" w:hAnsi="Times New Roman" w:cs="Times New Roman"/>
                <w:b/>
                <w:sz w:val="24"/>
                <w:szCs w:val="24"/>
              </w:rPr>
              <w:t>необладнання</w:t>
            </w:r>
            <w:proofErr w:type="spellEnd"/>
            <w:r>
              <w:rPr>
                <w:rFonts w:ascii="Times New Roman" w:hAnsi="Times New Roman" w:cs="Times New Roman"/>
                <w:b/>
                <w:sz w:val="24"/>
                <w:szCs w:val="24"/>
              </w:rPr>
              <w:t xml:space="preserve"> резервуарів, в яких знаходиться пальне, витратомірами-лічильниками та/або рівнемірами-лічильниками та за відсутність їх реєстрації в Єдиному державному реєстрі витратомірів-лічильників та рівнемірів-лічильників рівня пального у резервуарі.</w:t>
            </w:r>
          </w:p>
        </w:tc>
      </w:tr>
      <w:tr w:rsidR="000B502B">
        <w:tc>
          <w:tcPr>
            <w:tcW w:w="7479" w:type="dxa"/>
          </w:tcPr>
          <w:p w:rsidR="000B502B" w:rsidRDefault="000B502B">
            <w:pPr>
              <w:pStyle w:val="aa"/>
              <w:spacing w:before="0" w:beforeAutospacing="0" w:after="0" w:afterAutospacing="0"/>
              <w:jc w:val="both"/>
            </w:pPr>
          </w:p>
        </w:tc>
        <w:tc>
          <w:tcPr>
            <w:tcW w:w="7655" w:type="dxa"/>
          </w:tcPr>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38. Суб’єкти господарювання, які до набуття чинності підпункту «б» пункту 215.1 статті 215 цього Кодексу, підпадали під визначення платників акцизного податку відповідно до підпункту 212.1.15 </w:t>
            </w:r>
            <w:r>
              <w:rPr>
                <w:rFonts w:ascii="Times New Roman" w:hAnsi="Times New Roman" w:cs="Times New Roman"/>
                <w:b/>
                <w:sz w:val="24"/>
                <w:szCs w:val="24"/>
              </w:rPr>
              <w:lastRenderedPageBreak/>
              <w:t>пункту 212.1 статті 212 цього Кодексу та станом на день набуття чинності підпункту «б» пункту 215.1 статті 215 цього Кодексу, мали залишки таких товарів (продукції):</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 протягом 20 календарних днів, починаючи з дня набуття чинності підпункту «б» пункту 215.1 статті 215 цього Кодексу, зобов’язані зареєструвати в системі електронного адміністрування реалізації пального та спирту етилового всі акцизні склади, на яких зберігаються товари  (продукція), до складу яких входить хоча б один компонент, що є підакцизним товаром, зазначеним у підпункті 215.3.4 пункту 215.3 цього Кодексу;</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2) протягом 30 календарних днів, починаючи з дня набуття чинності підпункту «б» пункту 215.1 статті 215 цього Кодексу, мають право одноразово, без сплати акцизного податку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день набуття чинності підпункту «б» пункту 215.1 статті 215 цього Кодексу, за кожним кодом товарної </w:t>
            </w:r>
            <w:proofErr w:type="spellStart"/>
            <w:r>
              <w:rPr>
                <w:rFonts w:ascii="Times New Roman" w:hAnsi="Times New Roman" w:cs="Times New Roman"/>
                <w:b/>
                <w:sz w:val="24"/>
                <w:szCs w:val="24"/>
              </w:rPr>
              <w:t>підкатегорії</w:t>
            </w:r>
            <w:proofErr w:type="spellEnd"/>
            <w:r>
              <w:rPr>
                <w:rFonts w:ascii="Times New Roman" w:hAnsi="Times New Roman" w:cs="Times New Roman"/>
                <w:b/>
                <w:sz w:val="24"/>
                <w:szCs w:val="24"/>
              </w:rPr>
              <w:t xml:space="preserve"> пального згідно з УКТ ЗЕД та кожним акцизним складом / акцизним складом пересувним у разі подальшого використання зазначеного у цьому пункті пального виключно для:</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власного споживання товарів (продукції), до складу яких входить хоча б один компонент, що є підакцизним товаром, зазначеним у підпункті 215.3.4 пункту 215.3 цього Кодексу. Ця норма не поширюється на використання пального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w:t>
            </w:r>
            <w:proofErr w:type="spellStart"/>
            <w:r>
              <w:rPr>
                <w:rFonts w:ascii="Times New Roman" w:hAnsi="Times New Roman" w:cs="Times New Roman"/>
                <w:b/>
                <w:sz w:val="24"/>
                <w:szCs w:val="24"/>
              </w:rPr>
              <w:t>кривошипно</w:t>
            </w:r>
            <w:proofErr w:type="spellEnd"/>
            <w:r>
              <w:rPr>
                <w:rFonts w:ascii="Times New Roman" w:hAnsi="Times New Roman" w:cs="Times New Roman"/>
                <w:b/>
                <w:sz w:val="24"/>
                <w:szCs w:val="24"/>
              </w:rPr>
              <w:t>-шатунним механізмом;</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промислової переробки (крім виробництва підакцизних товарів, зазначених у підпункті 215.3.4 пункту 215.3 статті 215 цього Кодексу);</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3) протягом 45 календарних днів, починаючи з дня набуття чинності підпункту «б» пункту 215.1 статті 215 цього Кодексу зобов’язані скласти акцизні накладні на загальні обсяги пального, зазначеного у підпункті 2 цього пункту, використаного для власного споживання та/або промислової переробки у період з дня набуття чинності підпункту «б» пункту 215.1 статті 215 цього Кодексу, до дати, визначеної у підпункті 2 цього пункту включно, за кожним акцизним складом / акцизним складом пересувним та кожним кодом товарної </w:t>
            </w:r>
            <w:proofErr w:type="spellStart"/>
            <w:r>
              <w:rPr>
                <w:rFonts w:ascii="Times New Roman" w:hAnsi="Times New Roman" w:cs="Times New Roman"/>
                <w:b/>
                <w:sz w:val="24"/>
                <w:szCs w:val="24"/>
              </w:rPr>
              <w:t>підкатегорії</w:t>
            </w:r>
            <w:proofErr w:type="spellEnd"/>
            <w:r>
              <w:rPr>
                <w:rFonts w:ascii="Times New Roman" w:hAnsi="Times New Roman" w:cs="Times New Roman"/>
                <w:b/>
                <w:sz w:val="24"/>
                <w:szCs w:val="24"/>
              </w:rPr>
              <w:t xml:space="preserve"> згідно з УКТ ЗЕД, і зареєструвати їх у Єдиному реєстрі акцизних накладних;</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 протягом 30 календарних днів, починаючи з дня набуття чинності підпункту «б» пункту 215.1 статті 215 цього Кодексу, мають право одноразово на обсяги товарів (продукції), до складу яких входить хоча б один компонент, що є підакцизним товаром, зазначеним у підпункті 215.3.4 пункту 215.3 цього Кодексу,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день набуття чинності підпункту «б» пункту 215.1 статті 215 цього Кодексу, за кожним кодом товарної </w:t>
            </w:r>
            <w:proofErr w:type="spellStart"/>
            <w:r>
              <w:rPr>
                <w:rFonts w:ascii="Times New Roman" w:hAnsi="Times New Roman" w:cs="Times New Roman"/>
                <w:b/>
                <w:sz w:val="24"/>
                <w:szCs w:val="24"/>
              </w:rPr>
              <w:t>підкатегорії</w:t>
            </w:r>
            <w:proofErr w:type="spellEnd"/>
            <w:r>
              <w:rPr>
                <w:rFonts w:ascii="Times New Roman" w:hAnsi="Times New Roman" w:cs="Times New Roman"/>
                <w:b/>
                <w:sz w:val="24"/>
                <w:szCs w:val="24"/>
              </w:rPr>
              <w:t xml:space="preserve"> пального згідно з УКТ ЗЕД та кожним акцизним складом / акцизним складом пересувним, яка реєструється зі списанням з облікової картки грошових коштів сплаченого акцизного податку. Ця норма застосовується до обсягів пального, що в подальшому буде використовуватися для інших цілей, ніж зазначені у підпункті 2 цього пункту;</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5) протягом 45 календарних днів, починаючи з дня набуття чинності підпункту «б» пункту 215.1 статті 215 цього Кодексу, зобов'язані скласти акцизні накладні на загальні обсяги пального, зазначеного у підпункті 4 цього пункту, реалізованого у період з дня набуття чинності підпункту «б» пункту 215.1 статті 215 цього Кодексу, до дати, визначеної у підпункті 4 цього пункту, за кожним акцизним </w:t>
            </w:r>
            <w:r>
              <w:rPr>
                <w:rFonts w:ascii="Times New Roman" w:hAnsi="Times New Roman" w:cs="Times New Roman"/>
                <w:b/>
                <w:sz w:val="24"/>
                <w:szCs w:val="24"/>
              </w:rPr>
              <w:lastRenderedPageBreak/>
              <w:t xml:space="preserve">складом / акцизним складом пересувним та за кожним кодом товарної </w:t>
            </w:r>
            <w:proofErr w:type="spellStart"/>
            <w:r>
              <w:rPr>
                <w:rFonts w:ascii="Times New Roman" w:hAnsi="Times New Roman" w:cs="Times New Roman"/>
                <w:b/>
                <w:sz w:val="24"/>
                <w:szCs w:val="24"/>
              </w:rPr>
              <w:t>підкатегорії</w:t>
            </w:r>
            <w:proofErr w:type="spellEnd"/>
            <w:r>
              <w:rPr>
                <w:rFonts w:ascii="Times New Roman" w:hAnsi="Times New Roman" w:cs="Times New Roman"/>
                <w:b/>
                <w:sz w:val="24"/>
                <w:szCs w:val="24"/>
              </w:rPr>
              <w:t xml:space="preserve"> згідно з УКТ ЗЕД, і зареєструвати їх у Єдиному реєстрі акцизних накладних.</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До суб’єктів господарювання, зазначених у цьому пункті:</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протягом 20 календарних днів, починаючи з дня набуття чинності підпункту «б» пункту 215.1 статті 215 цього Кодексу, не застосовуються штрафні санкції, передбачені пунктом 128-1.2 статті 128-1 (за відсутність реєстрації акцизних складів) цього Кодексу – для акцизних складів, в яких знаходяться виключно товари (продукція), до складу яких входить хоча б один компонент, що є підакцизним товаром, зазначеним у підпункті 215.3.4 пункту 215.3 статті 215 цього Кодексу;</w:t>
            </w:r>
          </w:p>
          <w:p w:rsidR="000B502B" w:rsidRDefault="00842B2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протягом 45 календарних днів, починаючи з дня набуття чинності підпункту «б» пункту 215.1 статті 215 цього Кодексу, не застосовуються штрафні санкції, передбачені статтею 120-2 цього Кодексу за порушення строків реєстрації акцизних накладних, складених на операції з реалізації товарів (продукції), до складу яких входить хоча б один компонент, що є підакцизним товаром, зазначеним у підпункті 215.3.4 пункту 215.3 статті 215 цього Кодексу,  здійснені з дня набуття чинності підпункту «б» пункту 215.1 статті 215 цього Кодексу, до дати, визначеної у підпунктах 2 та 5 цього пункту.</w:t>
            </w:r>
          </w:p>
        </w:tc>
      </w:tr>
      <w:tr w:rsidR="000B502B">
        <w:tc>
          <w:tcPr>
            <w:tcW w:w="15134" w:type="dxa"/>
            <w:gridSpan w:val="2"/>
          </w:tcPr>
          <w:p w:rsidR="000B502B" w:rsidRDefault="00842B2B">
            <w:pPr>
              <w:pStyle w:val="3"/>
              <w:spacing w:before="0" w:beforeAutospacing="0" w:after="0" w:afterAutospacing="0"/>
              <w:jc w:val="center"/>
              <w:rPr>
                <w:rFonts w:eastAsia="Times New Roman"/>
                <w:sz w:val="24"/>
                <w:szCs w:val="24"/>
              </w:rPr>
            </w:pPr>
            <w:r>
              <w:rPr>
                <w:rFonts w:eastAsia="Times New Roman"/>
                <w:sz w:val="24"/>
                <w:szCs w:val="24"/>
              </w:rPr>
              <w:lastRenderedPageBreak/>
              <w:t>Закон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p>
        </w:tc>
      </w:tr>
      <w:tr w:rsidR="000B502B">
        <w:tc>
          <w:tcPr>
            <w:tcW w:w="7479" w:type="dxa"/>
          </w:tcPr>
          <w:p w:rsidR="000B502B" w:rsidRDefault="00842B2B">
            <w:pPr>
              <w:pStyle w:val="3"/>
              <w:spacing w:before="0" w:beforeAutospacing="0" w:after="0" w:afterAutospacing="0"/>
              <w:jc w:val="both"/>
              <w:rPr>
                <w:rFonts w:eastAsia="Times New Roman"/>
                <w:b w:val="0"/>
                <w:sz w:val="24"/>
                <w:szCs w:val="24"/>
              </w:rPr>
            </w:pPr>
            <w:r>
              <w:rPr>
                <w:rFonts w:eastAsia="Times New Roman"/>
                <w:b w:val="0"/>
                <w:sz w:val="24"/>
                <w:szCs w:val="24"/>
              </w:rPr>
              <w:t xml:space="preserve">Стаття 2. Організація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Pr>
                <w:rFonts w:eastAsia="Times New Roman"/>
                <w:b w:val="0"/>
                <w:sz w:val="24"/>
                <w:szCs w:val="24"/>
              </w:rPr>
              <w:t>біоетанолу</w:t>
            </w:r>
            <w:proofErr w:type="spellEnd"/>
            <w:r>
              <w:rPr>
                <w:rFonts w:eastAsia="Times New Roman"/>
                <w:b w:val="0"/>
                <w:sz w:val="24"/>
                <w:szCs w:val="24"/>
              </w:rPr>
              <w:t>, алкогольних напоїв, тютюнових виробів, рідин, що використовуються в електронних сигаретах, і пального</w:t>
            </w:r>
          </w:p>
        </w:tc>
        <w:tc>
          <w:tcPr>
            <w:tcW w:w="7655" w:type="dxa"/>
          </w:tcPr>
          <w:p w:rsidR="000B502B" w:rsidRDefault="00842B2B">
            <w:pPr>
              <w:pStyle w:val="3"/>
              <w:spacing w:before="0" w:beforeAutospacing="0" w:after="0" w:afterAutospacing="0"/>
              <w:jc w:val="both"/>
              <w:rPr>
                <w:rFonts w:eastAsia="Times New Roman"/>
                <w:b w:val="0"/>
                <w:sz w:val="24"/>
                <w:szCs w:val="24"/>
              </w:rPr>
            </w:pPr>
            <w:r>
              <w:rPr>
                <w:rFonts w:eastAsia="Times New Roman"/>
                <w:b w:val="0"/>
                <w:sz w:val="24"/>
                <w:szCs w:val="24"/>
              </w:rPr>
              <w:t xml:space="preserve">Стаття 2. Організація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Pr>
                <w:rFonts w:eastAsia="Times New Roman"/>
                <w:b w:val="0"/>
                <w:sz w:val="24"/>
                <w:szCs w:val="24"/>
              </w:rPr>
              <w:t>біоетанолу</w:t>
            </w:r>
            <w:proofErr w:type="spellEnd"/>
            <w:r>
              <w:rPr>
                <w:rFonts w:eastAsia="Times New Roman"/>
                <w:b w:val="0"/>
                <w:sz w:val="24"/>
                <w:szCs w:val="24"/>
              </w:rPr>
              <w:t>, алкогольних напоїв, тютюнових виробів, рідин, що використовуються в електронних сигаретах, і пального</w:t>
            </w:r>
          </w:p>
        </w:tc>
      </w:tr>
      <w:tr w:rsidR="000B502B">
        <w:tc>
          <w:tcPr>
            <w:tcW w:w="7479" w:type="dxa"/>
          </w:tcPr>
          <w:p w:rsidR="000B502B" w:rsidRDefault="00842B2B">
            <w:pPr>
              <w:pStyle w:val="3"/>
              <w:spacing w:before="0" w:beforeAutospacing="0" w:after="0" w:afterAutospacing="0"/>
              <w:jc w:val="both"/>
              <w:rPr>
                <w:sz w:val="24"/>
                <w:szCs w:val="24"/>
              </w:rPr>
            </w:pPr>
            <w:r>
              <w:rPr>
                <w:b w:val="0"/>
                <w:sz w:val="24"/>
                <w:szCs w:val="24"/>
              </w:rPr>
              <w:t xml:space="preserve">Ліцензія на виробництво спирту видається підприємствам, що мають встановлені цілодобові системи відеоспостереження за виробництвом </w:t>
            </w:r>
            <w:r>
              <w:rPr>
                <w:b w:val="0"/>
                <w:sz w:val="24"/>
                <w:szCs w:val="24"/>
              </w:rPr>
              <w:lastRenderedPageBreak/>
              <w:t xml:space="preserve">та відпуском продукції. </w:t>
            </w:r>
            <w:r>
              <w:rPr>
                <w:sz w:val="24"/>
                <w:szCs w:val="24"/>
              </w:rPr>
              <w:t>Відключення цілодобових систем відеоспостереження є підставою для відмови у ліцензії або відкликання ліцензії.</w:t>
            </w:r>
          </w:p>
          <w:p w:rsidR="000B502B" w:rsidRDefault="000B502B">
            <w:pPr>
              <w:pStyle w:val="3"/>
              <w:spacing w:before="0" w:beforeAutospacing="0" w:after="0" w:afterAutospacing="0"/>
              <w:jc w:val="both"/>
              <w:rPr>
                <w:b w:val="0"/>
                <w:sz w:val="24"/>
                <w:szCs w:val="24"/>
              </w:rPr>
            </w:pPr>
          </w:p>
          <w:p w:rsidR="000B502B" w:rsidRDefault="000B502B">
            <w:pPr>
              <w:pStyle w:val="3"/>
              <w:spacing w:before="0" w:beforeAutospacing="0" w:after="0" w:afterAutospacing="0"/>
              <w:jc w:val="both"/>
              <w:rPr>
                <w:b w:val="0"/>
                <w:sz w:val="24"/>
                <w:szCs w:val="24"/>
              </w:rPr>
            </w:pPr>
          </w:p>
          <w:p w:rsidR="000B502B" w:rsidRDefault="000B502B">
            <w:pPr>
              <w:pStyle w:val="3"/>
              <w:spacing w:before="0" w:beforeAutospacing="0" w:after="0" w:afterAutospacing="0"/>
              <w:jc w:val="both"/>
              <w:rPr>
                <w:b w:val="0"/>
                <w:sz w:val="24"/>
                <w:szCs w:val="24"/>
              </w:rPr>
            </w:pPr>
          </w:p>
          <w:p w:rsidR="000B502B" w:rsidRDefault="000B502B">
            <w:pPr>
              <w:pStyle w:val="3"/>
              <w:spacing w:before="0" w:beforeAutospacing="0" w:after="0" w:afterAutospacing="0"/>
              <w:jc w:val="both"/>
              <w:rPr>
                <w:b w:val="0"/>
                <w:sz w:val="24"/>
                <w:szCs w:val="24"/>
              </w:rPr>
            </w:pPr>
          </w:p>
          <w:p w:rsidR="000B502B" w:rsidRDefault="00842B2B">
            <w:pPr>
              <w:pStyle w:val="3"/>
              <w:spacing w:before="0" w:beforeAutospacing="0" w:after="0" w:afterAutospacing="0"/>
              <w:jc w:val="both"/>
              <w:rPr>
                <w:rFonts w:eastAsia="Times New Roman"/>
                <w:sz w:val="24"/>
                <w:szCs w:val="24"/>
              </w:rPr>
            </w:pPr>
            <w:r>
              <w:rPr>
                <w:sz w:val="24"/>
                <w:szCs w:val="24"/>
              </w:rPr>
              <w:t>Норма відсутня</w:t>
            </w:r>
          </w:p>
        </w:tc>
        <w:tc>
          <w:tcPr>
            <w:tcW w:w="7655" w:type="dxa"/>
          </w:tcPr>
          <w:p w:rsidR="000B502B" w:rsidRDefault="00842B2B">
            <w:pPr>
              <w:pStyle w:val="HTML"/>
              <w:shd w:val="clear" w:color="auto" w:fill="FFFFFF"/>
              <w:jc w:val="both"/>
              <w:textAlignment w:val="baseline"/>
              <w:rPr>
                <w:rFonts w:ascii="Times New Roman" w:eastAsiaTheme="minorEastAsia" w:hAnsi="Times New Roman"/>
                <w:b/>
                <w:bCs/>
                <w:sz w:val="24"/>
                <w:szCs w:val="24"/>
                <w:lang w:val="uk-UA" w:eastAsia="uk-UA"/>
              </w:rPr>
            </w:pPr>
            <w:r>
              <w:rPr>
                <w:rFonts w:ascii="Times New Roman" w:eastAsiaTheme="minorEastAsia" w:hAnsi="Times New Roman"/>
                <w:bCs/>
                <w:sz w:val="24"/>
                <w:szCs w:val="24"/>
                <w:lang w:val="uk-UA" w:eastAsia="uk-UA"/>
              </w:rPr>
              <w:lastRenderedPageBreak/>
              <w:t xml:space="preserve">Ліцензія на виробництво спирту видається підприємствам, що мають встановлені цілодобові системи відеоспостереження за виробництвом та </w:t>
            </w:r>
            <w:r>
              <w:rPr>
                <w:rFonts w:ascii="Times New Roman" w:eastAsiaTheme="minorEastAsia" w:hAnsi="Times New Roman"/>
                <w:bCs/>
                <w:sz w:val="24"/>
                <w:szCs w:val="24"/>
                <w:lang w:val="uk-UA" w:eastAsia="uk-UA"/>
              </w:rPr>
              <w:lastRenderedPageBreak/>
              <w:t>відпуском продукції.</w:t>
            </w:r>
            <w:r>
              <w:rPr>
                <w:rFonts w:ascii="Times New Roman" w:hAnsi="Times New Roman"/>
                <w:b/>
                <w:sz w:val="24"/>
                <w:szCs w:val="24"/>
              </w:rPr>
              <w:t xml:space="preserve"> </w:t>
            </w:r>
            <w:r>
              <w:rPr>
                <w:rFonts w:ascii="Times New Roman" w:eastAsiaTheme="minorEastAsia" w:hAnsi="Times New Roman"/>
                <w:b/>
                <w:bCs/>
                <w:sz w:val="24"/>
                <w:szCs w:val="24"/>
                <w:lang w:val="uk-UA" w:eastAsia="uk-UA"/>
              </w:rPr>
              <w:t xml:space="preserve">Відключення або </w:t>
            </w:r>
            <w:proofErr w:type="spellStart"/>
            <w:r>
              <w:rPr>
                <w:rFonts w:ascii="Times New Roman" w:eastAsiaTheme="minorEastAsia" w:hAnsi="Times New Roman"/>
                <w:b/>
                <w:bCs/>
                <w:sz w:val="24"/>
                <w:szCs w:val="24"/>
                <w:lang w:val="uk-UA" w:eastAsia="uk-UA"/>
              </w:rPr>
              <w:t>невстановлення</w:t>
            </w:r>
            <w:proofErr w:type="spellEnd"/>
            <w:r>
              <w:rPr>
                <w:rFonts w:ascii="Times New Roman" w:eastAsiaTheme="minorEastAsia" w:hAnsi="Times New Roman"/>
                <w:b/>
                <w:bCs/>
                <w:sz w:val="24"/>
                <w:szCs w:val="24"/>
                <w:lang w:val="uk-UA" w:eastAsia="uk-UA"/>
              </w:rPr>
              <w:t xml:space="preserve"> на усіх етапах виробництва та відпуску цілодобових систем відеоспостереження є підставою для відмови у видачі  ліцензії або анулювання ліцензії. </w:t>
            </w:r>
          </w:p>
          <w:p w:rsidR="000B502B" w:rsidRDefault="00842B2B">
            <w:pPr>
              <w:pStyle w:val="3"/>
              <w:spacing w:before="0" w:beforeAutospacing="0" w:after="0" w:afterAutospacing="0"/>
              <w:jc w:val="both"/>
              <w:rPr>
                <w:rFonts w:eastAsia="Times New Roman"/>
                <w:sz w:val="24"/>
                <w:szCs w:val="24"/>
              </w:rPr>
            </w:pPr>
            <w:r>
              <w:rPr>
                <w:rFonts w:eastAsia="Times New Roman"/>
                <w:sz w:val="24"/>
                <w:szCs w:val="24"/>
              </w:rPr>
              <w:t>Вимоги до системи відеоспостереження, її встановлення та функціонування затверджуються центральним органом виконавчої влади, що забезпечує формування та реалізує державну фінансову політику. Система повинна включати камери, які фіксують інформацію безпосередньо на витратомірах-лічильниках, у місцях пломбування місць можливого доступу до спирту, в’їзду-виїзду на/з акцизного складу.</w:t>
            </w:r>
          </w:p>
          <w:p w:rsidR="000B502B" w:rsidRDefault="00842B2B">
            <w:pPr>
              <w:pStyle w:val="3"/>
              <w:spacing w:before="0" w:beforeAutospacing="0" w:after="0" w:afterAutospacing="0"/>
              <w:jc w:val="both"/>
              <w:rPr>
                <w:rFonts w:eastAsia="Times New Roman"/>
                <w:sz w:val="24"/>
                <w:szCs w:val="24"/>
              </w:rPr>
            </w:pPr>
            <w:r>
              <w:rPr>
                <w:rFonts w:eastAsia="Times New Roman"/>
                <w:sz w:val="24"/>
                <w:szCs w:val="24"/>
              </w:rPr>
              <w:t>До подачі документів для отримання ліцензії на право виробництва спирту суб’єкт господарювання (у тому числі іноземний суб’єкт господарювання, який діє через своє зареєстроване постійне представництво) має погодити у податковому органі схему розташування системи відеоспостереження на підставі схеми повного технологічного циклу виробництва спирту.</w:t>
            </w:r>
          </w:p>
          <w:p w:rsidR="000B502B" w:rsidRDefault="00842B2B">
            <w:pPr>
              <w:pStyle w:val="3"/>
              <w:spacing w:before="0" w:beforeAutospacing="0" w:after="0" w:afterAutospacing="0"/>
              <w:jc w:val="both"/>
              <w:rPr>
                <w:rFonts w:eastAsia="Times New Roman"/>
                <w:sz w:val="24"/>
                <w:szCs w:val="24"/>
              </w:rPr>
            </w:pPr>
            <w:r>
              <w:rPr>
                <w:rFonts w:eastAsia="Times New Roman"/>
                <w:sz w:val="24"/>
                <w:szCs w:val="24"/>
              </w:rPr>
              <w:t>У разі наявності діючої ліцензії на право виробництва спирту суб’єкт господарювання (у тому числі іноземний суб'єкт господарювання, який діє через своє зареєстроване постійне представництво) не пізніше трьох місяців з дня набуття чинності нормою цієї статті Закону щодо погодження схеми розташування системи відеоспостереження має погодити у податковому органі схему розташування системи відеоспостереження на підставі схеми повного технологічного циклу виробництва спирту.</w:t>
            </w:r>
          </w:p>
          <w:p w:rsidR="000B502B" w:rsidRDefault="00842B2B">
            <w:pPr>
              <w:pStyle w:val="3"/>
              <w:spacing w:before="0" w:beforeAutospacing="0" w:after="0" w:afterAutospacing="0"/>
              <w:jc w:val="both"/>
              <w:rPr>
                <w:rFonts w:eastAsia="Times New Roman"/>
                <w:sz w:val="24"/>
                <w:szCs w:val="24"/>
              </w:rPr>
            </w:pPr>
            <w:r>
              <w:rPr>
                <w:rFonts w:eastAsia="Times New Roman"/>
                <w:sz w:val="24"/>
                <w:szCs w:val="24"/>
              </w:rPr>
              <w:t>Суб’єкт господарювання (у тому числі іноземний суб’єкт господарювання, який діє через своє зареєстроване постійне представництво), який отримав ліцензію на виробництво спирту, зобов’язаний забезпечити цілодобовий необмежений доступ представника податкового органу до системи відеоспостереження.</w:t>
            </w:r>
          </w:p>
        </w:tc>
      </w:tr>
      <w:tr w:rsidR="000B502B">
        <w:tc>
          <w:tcPr>
            <w:tcW w:w="7479" w:type="dxa"/>
          </w:tcPr>
          <w:p w:rsidR="000B502B" w:rsidRDefault="00842B2B">
            <w:pPr>
              <w:pStyle w:val="3"/>
              <w:spacing w:before="0" w:beforeAutospacing="0" w:after="0" w:afterAutospacing="0"/>
              <w:jc w:val="both"/>
              <w:rPr>
                <w:rFonts w:eastAsia="Times New Roman"/>
                <w:b w:val="0"/>
                <w:sz w:val="24"/>
                <w:szCs w:val="24"/>
              </w:rPr>
            </w:pPr>
            <w:r>
              <w:rPr>
                <w:rFonts w:eastAsia="Times New Roman"/>
                <w:b w:val="0"/>
                <w:sz w:val="24"/>
                <w:szCs w:val="24"/>
              </w:rPr>
              <w:lastRenderedPageBreak/>
              <w:t xml:space="preserve">Стаття 3. Порядок видачі, призупинення, анулювання ліцензій на виробництво спирту етилового, коньячного і плодового та зернового дистиляту, спирту етилового ректифікованого виноградного, спирту </w:t>
            </w:r>
            <w:r>
              <w:rPr>
                <w:rFonts w:eastAsia="Times New Roman"/>
                <w:b w:val="0"/>
                <w:sz w:val="24"/>
                <w:szCs w:val="24"/>
              </w:rPr>
              <w:lastRenderedPageBreak/>
              <w:t xml:space="preserve">етилового ректифікованого плодового, дистиляту виноградного спиртового, спирту-сирцю плодового, </w:t>
            </w:r>
            <w:proofErr w:type="spellStart"/>
            <w:r>
              <w:rPr>
                <w:rFonts w:eastAsia="Times New Roman"/>
                <w:b w:val="0"/>
                <w:sz w:val="24"/>
                <w:szCs w:val="24"/>
              </w:rPr>
              <w:t>біоетанолу</w:t>
            </w:r>
            <w:proofErr w:type="spellEnd"/>
            <w:r>
              <w:rPr>
                <w:rFonts w:eastAsia="Times New Roman"/>
                <w:b w:val="0"/>
                <w:sz w:val="24"/>
                <w:szCs w:val="24"/>
              </w:rPr>
              <w:t xml:space="preserve">, алкогольних напоїв, тютюнових виробів, рідин, що використовуються в електронних сигаретах, і пального </w:t>
            </w:r>
          </w:p>
        </w:tc>
        <w:tc>
          <w:tcPr>
            <w:tcW w:w="7655" w:type="dxa"/>
          </w:tcPr>
          <w:p w:rsidR="000B502B" w:rsidRDefault="00842B2B">
            <w:pPr>
              <w:pStyle w:val="3"/>
              <w:spacing w:before="0" w:beforeAutospacing="0" w:after="0" w:afterAutospacing="0"/>
              <w:jc w:val="both"/>
              <w:rPr>
                <w:rFonts w:eastAsia="Times New Roman"/>
                <w:b w:val="0"/>
                <w:sz w:val="24"/>
                <w:szCs w:val="24"/>
              </w:rPr>
            </w:pPr>
            <w:r>
              <w:rPr>
                <w:rFonts w:eastAsia="Times New Roman"/>
                <w:b w:val="0"/>
                <w:sz w:val="24"/>
                <w:szCs w:val="24"/>
              </w:rPr>
              <w:lastRenderedPageBreak/>
              <w:t xml:space="preserve">Стаття 3. Порядок видачі, призупинення, анулювання ліцензій на виробництво спирту етилового, коньячного і плодового та зернового дистиляту, спирту етилового ректифікованого виноградного, спирту </w:t>
            </w:r>
            <w:r>
              <w:rPr>
                <w:rFonts w:eastAsia="Times New Roman"/>
                <w:b w:val="0"/>
                <w:sz w:val="24"/>
                <w:szCs w:val="24"/>
              </w:rPr>
              <w:lastRenderedPageBreak/>
              <w:t xml:space="preserve">етилового ректифікованого плодового, дистиляту виноградного спиртового, спирту-сирцю плодового, </w:t>
            </w:r>
            <w:proofErr w:type="spellStart"/>
            <w:r>
              <w:rPr>
                <w:rFonts w:eastAsia="Times New Roman"/>
                <w:b w:val="0"/>
                <w:sz w:val="24"/>
                <w:szCs w:val="24"/>
              </w:rPr>
              <w:t>біоетанолу</w:t>
            </w:r>
            <w:proofErr w:type="spellEnd"/>
            <w:r>
              <w:rPr>
                <w:rFonts w:eastAsia="Times New Roman"/>
                <w:b w:val="0"/>
                <w:sz w:val="24"/>
                <w:szCs w:val="24"/>
              </w:rPr>
              <w:t xml:space="preserve">, алкогольних напоїв, тютюнових виробів, рідин, що використовуються в електронних сигаретах, і пального </w:t>
            </w:r>
          </w:p>
        </w:tc>
      </w:tr>
      <w:tr w:rsidR="000B502B">
        <w:tc>
          <w:tcPr>
            <w:tcW w:w="7479" w:type="dxa"/>
          </w:tcPr>
          <w:p w:rsidR="000B502B" w:rsidRDefault="00842B2B">
            <w:pPr>
              <w:pStyle w:val="aa"/>
              <w:spacing w:before="0" w:beforeAutospacing="0" w:after="0" w:afterAutospacing="0"/>
              <w:jc w:val="both"/>
            </w:pPr>
            <w:r>
              <w:lastRenderedPageBreak/>
              <w:t xml:space="preserve">Ліцензія анулюється шляхом прийняття органом, який видав ліцензію, відповідного письмового розпорядження на підставі: </w:t>
            </w:r>
          </w:p>
          <w:p w:rsidR="000B502B" w:rsidRDefault="00842B2B">
            <w:pPr>
              <w:pStyle w:val="aa"/>
              <w:spacing w:before="0" w:beforeAutospacing="0" w:after="0" w:afterAutospacing="0"/>
              <w:jc w:val="both"/>
            </w:pPr>
            <w:r>
              <w:t xml:space="preserve">заяви суб’єкта господарювання (у тому числі іноземного суб’єкта господарювання, який діє через своє зареєстроване постійне представництво); </w:t>
            </w:r>
          </w:p>
          <w:p w:rsidR="000B502B" w:rsidRDefault="00842B2B">
            <w:pPr>
              <w:pStyle w:val="aa"/>
              <w:spacing w:before="0" w:beforeAutospacing="0" w:after="0" w:afterAutospacing="0"/>
              <w:jc w:val="both"/>
            </w:pPr>
            <w:r>
              <w:t xml:space="preserve">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 </w:t>
            </w:r>
          </w:p>
          <w:p w:rsidR="000B502B" w:rsidRDefault="00842B2B">
            <w:pPr>
              <w:pStyle w:val="aa"/>
              <w:spacing w:before="0" w:beforeAutospacing="0" w:after="0" w:afterAutospacing="0"/>
              <w:jc w:val="both"/>
            </w:pPr>
            <w:r>
              <w:t xml:space="preserve">несплати чергового платежу за ліцензію протягом 30 днів від моменту призупинення ліцензії; </w:t>
            </w:r>
          </w:p>
          <w:p w:rsidR="000B502B" w:rsidRDefault="00842B2B">
            <w:pPr>
              <w:pStyle w:val="aa"/>
              <w:spacing w:before="0" w:beforeAutospacing="0" w:after="0" w:afterAutospacing="0"/>
              <w:jc w:val="both"/>
            </w:pPr>
            <w:r>
              <w:t xml:space="preserve">рішення суду про 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 </w:t>
            </w:r>
          </w:p>
          <w:p w:rsidR="000B502B" w:rsidRDefault="00842B2B">
            <w:pPr>
              <w:pStyle w:val="aa"/>
              <w:spacing w:before="0" w:beforeAutospacing="0" w:after="0" w:afterAutospacing="0"/>
              <w:jc w:val="both"/>
            </w:pPr>
            <w:r>
              <w:t xml:space="preserve">рішення суду про встановлення факту фальсифікації суб’єктом господарювання (у тому числі іноземним суб’єктом господарювання, який діє через своє зареєстроване постійне представництво) алкогольних напоїв або тютюнових виробів, або пального; </w:t>
            </w:r>
          </w:p>
          <w:p w:rsidR="000B502B" w:rsidRDefault="00842B2B">
            <w:pPr>
              <w:pStyle w:val="aa"/>
              <w:spacing w:before="0" w:beforeAutospacing="0" w:after="0" w:afterAutospacing="0"/>
              <w:jc w:val="both"/>
            </w:pPr>
            <w:r>
              <w:t>отримання від уповноважених органів інформації, що документи, копії яких подані разом із заявою на отримання ліцензії, не видавалися / не погоджувалися такими органами;</w:t>
            </w:r>
          </w:p>
          <w:p w:rsidR="000B502B" w:rsidRDefault="00842B2B">
            <w:pPr>
              <w:pStyle w:val="aa"/>
              <w:spacing w:before="0" w:beforeAutospacing="0" w:after="0" w:afterAutospacing="0"/>
              <w:jc w:val="both"/>
            </w:pPr>
            <w:r>
              <w:t>встановлення факту подання заявником недостовірних даних у документах, поданих разом із заявою на отримання ліцензії;</w:t>
            </w:r>
          </w:p>
          <w:p w:rsidR="000B502B" w:rsidRDefault="00842B2B">
            <w:pPr>
              <w:pStyle w:val="aa"/>
              <w:spacing w:before="0" w:beforeAutospacing="0" w:after="0" w:afterAutospacing="0"/>
              <w:jc w:val="both"/>
            </w:pPr>
            <w:r>
              <w:t xml:space="preserve">документа, який засвідчує передачу іншому суб’єкту господарювання (у тому числі іноземному суб’єкту господарювання, який діє через своє зареєстроване постійне представництво) у власність, володіння та/або користування приміщень та обладнання, що забезпечують повний технологічний цикл виробництва алкогольних напоїв. </w:t>
            </w:r>
          </w:p>
          <w:p w:rsidR="000B502B" w:rsidRDefault="00842B2B">
            <w:pPr>
              <w:pStyle w:val="aa"/>
              <w:spacing w:before="0" w:beforeAutospacing="0" w:after="0" w:afterAutospacing="0"/>
              <w:jc w:val="both"/>
            </w:pPr>
            <w:r>
              <w:lastRenderedPageBreak/>
              <w:t>рішення суду про встановлення невідповідності матеріально-технічної бази вимогам законодавства до малих виробництв виноробної продукції;</w:t>
            </w:r>
          </w:p>
          <w:p w:rsidR="000B502B" w:rsidRDefault="00842B2B">
            <w:pPr>
              <w:pStyle w:val="aa"/>
              <w:spacing w:before="0" w:beforeAutospacing="0" w:after="0" w:afterAutospacing="0"/>
              <w:jc w:val="both"/>
            </w:pPr>
            <w: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виноматеріалів, придбаних та/або отриманих шляхом переробки придбаних плодів, ягід, винограду, меду;</w:t>
            </w:r>
          </w:p>
          <w:p w:rsidR="000B502B" w:rsidRDefault="00842B2B">
            <w:pPr>
              <w:pStyle w:val="aa"/>
              <w:spacing w:before="0" w:beforeAutospacing="0" w:after="0" w:afterAutospacing="0"/>
              <w:jc w:val="both"/>
            </w:pPr>
            <w: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використанням спирту та/або перевищення об'єму виробництва продукції, зазначеного у статті 1 цього Закону.</w:t>
            </w:r>
          </w:p>
          <w:p w:rsidR="000B502B" w:rsidRDefault="000B502B">
            <w:pPr>
              <w:pStyle w:val="aa"/>
              <w:spacing w:before="0" w:beforeAutospacing="0" w:after="0" w:afterAutospacing="0"/>
              <w:jc w:val="both"/>
            </w:pPr>
          </w:p>
          <w:p w:rsidR="000B502B" w:rsidRDefault="00842B2B">
            <w:pPr>
              <w:pStyle w:val="aa"/>
              <w:spacing w:before="0" w:beforeAutospacing="0" w:after="0" w:afterAutospacing="0"/>
              <w:jc w:val="both"/>
              <w:rPr>
                <w:b/>
              </w:rPr>
            </w:pPr>
            <w:r>
              <w:rPr>
                <w:b/>
              </w:rPr>
              <w:t>Норма відсутня</w:t>
            </w:r>
          </w:p>
        </w:tc>
        <w:tc>
          <w:tcPr>
            <w:tcW w:w="7655" w:type="dxa"/>
          </w:tcPr>
          <w:p w:rsidR="000B502B" w:rsidRDefault="00842B2B">
            <w:pPr>
              <w:pStyle w:val="aa"/>
              <w:spacing w:before="0" w:beforeAutospacing="0" w:after="0" w:afterAutospacing="0"/>
              <w:jc w:val="both"/>
            </w:pPr>
            <w:r>
              <w:lastRenderedPageBreak/>
              <w:t xml:space="preserve">Ліцензія анулюється шляхом прийняття органом, який видав ліцензію, відповідного письмового розпорядження на підставі: </w:t>
            </w:r>
          </w:p>
          <w:p w:rsidR="000B502B" w:rsidRDefault="00842B2B">
            <w:pPr>
              <w:pStyle w:val="aa"/>
              <w:spacing w:before="0" w:beforeAutospacing="0" w:after="0" w:afterAutospacing="0"/>
              <w:jc w:val="both"/>
            </w:pPr>
            <w:r>
              <w:t xml:space="preserve">заяви суб’єкта господарювання (у тому числі іноземного суб’єкта господарювання, який діє через своє зареєстроване постійне представництво); </w:t>
            </w:r>
          </w:p>
          <w:p w:rsidR="000B502B" w:rsidRDefault="00842B2B">
            <w:pPr>
              <w:pStyle w:val="aa"/>
              <w:spacing w:before="0" w:beforeAutospacing="0" w:after="0" w:afterAutospacing="0"/>
              <w:jc w:val="both"/>
            </w:pPr>
            <w:r>
              <w:t xml:space="preserve">рішення про скасування державної реєстрації суб’єкта господарювання (у тому числі іноземного суб’єкта господарювання, який діє через своє зареєстроване постійне представництво); </w:t>
            </w:r>
          </w:p>
          <w:p w:rsidR="000B502B" w:rsidRDefault="00842B2B">
            <w:pPr>
              <w:pStyle w:val="aa"/>
              <w:spacing w:before="0" w:beforeAutospacing="0" w:after="0" w:afterAutospacing="0"/>
              <w:jc w:val="both"/>
            </w:pPr>
            <w:r>
              <w:t xml:space="preserve">несплати чергового платежу за ліцензію протягом 30 днів від моменту призупинення ліцензії; </w:t>
            </w:r>
          </w:p>
          <w:p w:rsidR="000B502B" w:rsidRDefault="00842B2B">
            <w:pPr>
              <w:pStyle w:val="aa"/>
              <w:spacing w:before="0" w:beforeAutospacing="0" w:after="0" w:afterAutospacing="0"/>
              <w:jc w:val="both"/>
            </w:pPr>
            <w:r>
              <w:t xml:space="preserve">рішення суду про встановлення факту незаконного використання суб’єктом господарювання (у тому числі іноземним суб’єктом господарювання, який діє через своє зареєстроване постійне представництво) марок акцизного податку; </w:t>
            </w:r>
          </w:p>
          <w:p w:rsidR="000B502B" w:rsidRDefault="00842B2B">
            <w:pPr>
              <w:pStyle w:val="aa"/>
              <w:spacing w:before="0" w:beforeAutospacing="0" w:after="0" w:afterAutospacing="0"/>
              <w:jc w:val="both"/>
            </w:pPr>
            <w:r>
              <w:t xml:space="preserve">рішення суду про встановлення факту фальсифікації суб'єктом господарювання (у тому числі іноземним суб’єктом господарювання, який діє через своє зареєстроване постійне представництво) алкогольних напоїв або тютюнових виробів, або пального; </w:t>
            </w:r>
          </w:p>
          <w:p w:rsidR="000B502B" w:rsidRDefault="00842B2B">
            <w:pPr>
              <w:pStyle w:val="aa"/>
              <w:spacing w:before="0" w:beforeAutospacing="0" w:after="0" w:afterAutospacing="0"/>
              <w:jc w:val="both"/>
            </w:pPr>
            <w:r>
              <w:t>отримання від уповноважених органів інформації, що документи, копії яких подані разом із заявою на отримання ліцензії, не видавалися / не погоджувалися такими органами;</w:t>
            </w:r>
          </w:p>
          <w:p w:rsidR="000B502B" w:rsidRDefault="00842B2B">
            <w:pPr>
              <w:pStyle w:val="aa"/>
              <w:spacing w:before="0" w:beforeAutospacing="0" w:after="0" w:afterAutospacing="0"/>
              <w:jc w:val="both"/>
            </w:pPr>
            <w:r>
              <w:t>встановлення факту подання заявником недостовірних даних у документах, поданих разом із заявою на отримання ліцензії;</w:t>
            </w:r>
          </w:p>
          <w:p w:rsidR="000B502B" w:rsidRDefault="00842B2B">
            <w:pPr>
              <w:pStyle w:val="aa"/>
              <w:spacing w:before="0" w:beforeAutospacing="0" w:after="0" w:afterAutospacing="0"/>
              <w:jc w:val="both"/>
            </w:pPr>
            <w:r>
              <w:t xml:space="preserve">документа, який засвідчує передачу іншому суб’єкту господарювання (у тому числі іноземному суб’єкту господарювання, який діє через своє зареєстроване постійне представництво) у власність, володіння та/або користування приміщень та обладнання, що забезпечують повний технологічний цикл виробництва алкогольних напоїв. </w:t>
            </w:r>
          </w:p>
          <w:p w:rsidR="000B502B" w:rsidRDefault="00842B2B">
            <w:pPr>
              <w:pStyle w:val="aa"/>
              <w:spacing w:before="0" w:beforeAutospacing="0" w:after="0" w:afterAutospacing="0"/>
              <w:jc w:val="both"/>
            </w:pPr>
            <w:r>
              <w:lastRenderedPageBreak/>
              <w:t>рішення суду про встановлення невідповідності матеріально-технічної бази вимогам законодавства до малих виробництв виноробної продукції;</w:t>
            </w:r>
          </w:p>
          <w:p w:rsidR="000B502B" w:rsidRDefault="000B502B">
            <w:pPr>
              <w:pStyle w:val="aa"/>
              <w:spacing w:before="0" w:beforeAutospacing="0" w:after="0" w:afterAutospacing="0"/>
              <w:jc w:val="both"/>
            </w:pPr>
          </w:p>
          <w:p w:rsidR="000B502B" w:rsidRDefault="00842B2B">
            <w:pPr>
              <w:pStyle w:val="aa"/>
              <w:spacing w:before="0" w:beforeAutospacing="0" w:after="0" w:afterAutospacing="0"/>
              <w:jc w:val="both"/>
            </w:pPr>
            <w: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виноматеріалів, придбаних та/або отриманих шляхом переробки придбаних плодів, ягід, винограду, меду;</w:t>
            </w:r>
          </w:p>
          <w:p w:rsidR="000B502B" w:rsidRDefault="00842B2B">
            <w:pPr>
              <w:pStyle w:val="aa"/>
              <w:spacing w:before="0" w:beforeAutospacing="0" w:after="0" w:afterAutospacing="0"/>
              <w:jc w:val="both"/>
            </w:pPr>
            <w:r>
              <w:t>рішення суду про встановлення факту переробки, виробництва та/або реалізації малим виробництвом виноробної продукції вин виноградних, вин плодово-ягідних, напоїв медових із використанням спирту та/або перевищення об'єму виробництва продукції, зазначеного у статті 1 цього Закону;</w:t>
            </w:r>
          </w:p>
          <w:p w:rsidR="000B502B" w:rsidRDefault="00842B2B">
            <w:pPr>
              <w:pStyle w:val="aa"/>
              <w:spacing w:before="0" w:beforeAutospacing="0" w:after="0" w:afterAutospacing="0"/>
              <w:jc w:val="both"/>
              <w:rPr>
                <w:b/>
              </w:rPr>
            </w:pPr>
            <w:r>
              <w:rPr>
                <w:b/>
              </w:rPr>
              <w:t>встановлення факту відсутності або відключення встановленої цілодобової системи відеоспостереження за виробництвом та відпуском спирту;</w:t>
            </w:r>
          </w:p>
          <w:p w:rsidR="000B502B" w:rsidRDefault="00842B2B">
            <w:pPr>
              <w:pStyle w:val="aa"/>
              <w:spacing w:before="0" w:beforeAutospacing="0" w:after="0" w:afterAutospacing="0"/>
              <w:jc w:val="both"/>
            </w:pPr>
            <w:r>
              <w:rPr>
                <w:rFonts w:eastAsia="Calibri"/>
                <w:b/>
                <w:lang w:eastAsia="en-US"/>
              </w:rPr>
              <w:t>незабезпечення цілодобового необмеженого доступу представника податкового органу до системи відеоспостереження.</w:t>
            </w:r>
          </w:p>
        </w:tc>
      </w:tr>
      <w:tr w:rsidR="000B502B">
        <w:tc>
          <w:tcPr>
            <w:tcW w:w="7479" w:type="dxa"/>
          </w:tcPr>
          <w:p w:rsidR="000B502B" w:rsidRDefault="00842B2B">
            <w:pPr>
              <w:pStyle w:val="3"/>
              <w:spacing w:before="0" w:beforeAutospacing="0" w:after="0" w:afterAutospacing="0"/>
              <w:jc w:val="both"/>
              <w:rPr>
                <w:rFonts w:eastAsia="Times New Roman"/>
                <w:b w:val="0"/>
                <w:sz w:val="24"/>
                <w:szCs w:val="24"/>
              </w:rPr>
            </w:pPr>
            <w:r>
              <w:rPr>
                <w:rFonts w:eastAsia="Times New Roman"/>
                <w:b w:val="0"/>
                <w:sz w:val="24"/>
                <w:szCs w:val="24"/>
              </w:rPr>
              <w:lastRenderedPageBreak/>
              <w:t xml:space="preserve">Стаття 8. Стаття 8. Атестація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Pr>
                <w:rFonts w:eastAsia="Times New Roman"/>
                <w:b w:val="0"/>
                <w:sz w:val="24"/>
                <w:szCs w:val="24"/>
              </w:rPr>
              <w:t>біоетанолу</w:t>
            </w:r>
            <w:proofErr w:type="spellEnd"/>
            <w:r>
              <w:rPr>
                <w:rFonts w:eastAsia="Times New Roman"/>
                <w:b w:val="0"/>
                <w:sz w:val="24"/>
                <w:szCs w:val="24"/>
              </w:rPr>
              <w:t xml:space="preserve">, алкогольних напоїв та тютюнових виробів </w:t>
            </w:r>
          </w:p>
          <w:p w:rsidR="000B502B" w:rsidRDefault="000B502B">
            <w:pPr>
              <w:pStyle w:val="3"/>
              <w:spacing w:before="0" w:beforeAutospacing="0" w:after="0" w:afterAutospacing="0"/>
              <w:jc w:val="both"/>
              <w:rPr>
                <w:rFonts w:eastAsia="Times New Roman"/>
                <w:b w:val="0"/>
                <w:sz w:val="24"/>
                <w:szCs w:val="24"/>
              </w:rPr>
            </w:pPr>
          </w:p>
        </w:tc>
        <w:tc>
          <w:tcPr>
            <w:tcW w:w="7655" w:type="dxa"/>
          </w:tcPr>
          <w:p w:rsidR="000B502B" w:rsidRDefault="00842B2B">
            <w:pPr>
              <w:pStyle w:val="3"/>
              <w:spacing w:before="0" w:beforeAutospacing="0" w:after="0" w:afterAutospacing="0"/>
              <w:jc w:val="both"/>
              <w:rPr>
                <w:rFonts w:eastAsia="Times New Roman"/>
                <w:b w:val="0"/>
                <w:sz w:val="24"/>
                <w:szCs w:val="24"/>
              </w:rPr>
            </w:pPr>
            <w:r>
              <w:rPr>
                <w:rFonts w:eastAsia="Times New Roman"/>
                <w:b w:val="0"/>
                <w:sz w:val="24"/>
                <w:szCs w:val="24"/>
              </w:rPr>
              <w:t xml:space="preserve">Стаття 8. Атестація виробництва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Pr>
                <w:rFonts w:eastAsia="Times New Roman"/>
                <w:b w:val="0"/>
                <w:sz w:val="24"/>
                <w:szCs w:val="24"/>
              </w:rPr>
              <w:t>біоетанолу</w:t>
            </w:r>
            <w:proofErr w:type="spellEnd"/>
            <w:r>
              <w:rPr>
                <w:rFonts w:eastAsia="Times New Roman"/>
                <w:b w:val="0"/>
                <w:sz w:val="24"/>
                <w:szCs w:val="24"/>
              </w:rPr>
              <w:t xml:space="preserve">, алкогольних напоїв, тютюнових виробів </w:t>
            </w:r>
            <w:r>
              <w:rPr>
                <w:rFonts w:eastAsia="Times New Roman"/>
                <w:sz w:val="24"/>
                <w:szCs w:val="24"/>
              </w:rPr>
              <w:t>та рідин, що використовуються в електронних сигаретах</w:t>
            </w:r>
          </w:p>
        </w:tc>
      </w:tr>
      <w:tr w:rsidR="000B502B">
        <w:tc>
          <w:tcPr>
            <w:tcW w:w="7479" w:type="dxa"/>
          </w:tcPr>
          <w:p w:rsidR="000B502B" w:rsidRDefault="00842B2B">
            <w:pPr>
              <w:pStyle w:val="3"/>
              <w:spacing w:before="0" w:beforeAutospacing="0" w:after="0" w:afterAutospacing="0"/>
              <w:jc w:val="both"/>
              <w:rPr>
                <w:b w:val="0"/>
                <w:sz w:val="24"/>
                <w:szCs w:val="24"/>
              </w:rPr>
            </w:pPr>
            <w:r>
              <w:rPr>
                <w:b w:val="0"/>
                <w:sz w:val="24"/>
                <w:szCs w:val="24"/>
              </w:rPr>
              <w:t>…</w:t>
            </w:r>
          </w:p>
          <w:p w:rsidR="000B502B" w:rsidRDefault="00842B2B">
            <w:pPr>
              <w:pStyle w:val="3"/>
              <w:spacing w:before="0" w:beforeAutospacing="0" w:after="0" w:afterAutospacing="0"/>
              <w:jc w:val="both"/>
              <w:rPr>
                <w:rFonts w:eastAsia="Times New Roman"/>
                <w:b w:val="0"/>
                <w:sz w:val="24"/>
                <w:szCs w:val="24"/>
              </w:rPr>
            </w:pPr>
            <w:r>
              <w:rPr>
                <w:b w:val="0"/>
                <w:sz w:val="24"/>
                <w:szCs w:val="24"/>
              </w:rPr>
              <w:t xml:space="preserve">Вимоги до повних технологічних циклів </w:t>
            </w:r>
            <w:r>
              <w:rPr>
                <w:sz w:val="24"/>
                <w:szCs w:val="24"/>
              </w:rPr>
              <w:t>виробництва коньяку, алкогольних напоїв за коньячною технологією і тютюнових виробів</w:t>
            </w:r>
            <w:r>
              <w:rPr>
                <w:b w:val="0"/>
                <w:sz w:val="24"/>
                <w:szCs w:val="24"/>
              </w:rPr>
              <w:t xml:space="preserve"> встановлюються центральним органом виконавчої влади, що забезпечує формування державної політики у сфері сільського господарства та з питань продовольчої безпеки держави, а вимоги до місць зберігання спирту - центральним органом виконавчої влади, що забезпечує формування та реалізує державну податкову політику. </w:t>
            </w:r>
          </w:p>
        </w:tc>
        <w:tc>
          <w:tcPr>
            <w:tcW w:w="7655" w:type="dxa"/>
          </w:tcPr>
          <w:p w:rsidR="000B502B" w:rsidRDefault="00842B2B">
            <w:pPr>
              <w:pStyle w:val="3"/>
              <w:spacing w:before="0" w:beforeAutospacing="0" w:after="0" w:afterAutospacing="0"/>
              <w:jc w:val="both"/>
              <w:rPr>
                <w:rFonts w:eastAsia="Times New Roman"/>
                <w:b w:val="0"/>
                <w:sz w:val="24"/>
                <w:szCs w:val="24"/>
              </w:rPr>
            </w:pPr>
            <w:r>
              <w:rPr>
                <w:rFonts w:eastAsia="Times New Roman"/>
                <w:b w:val="0"/>
                <w:sz w:val="24"/>
                <w:szCs w:val="24"/>
              </w:rPr>
              <w:t>…</w:t>
            </w:r>
            <w:r>
              <w:rPr>
                <w:rFonts w:eastAsia="Times New Roman"/>
                <w:b w:val="0"/>
                <w:sz w:val="24"/>
                <w:szCs w:val="24"/>
                <w:lang w:val="ru-RU"/>
              </w:rPr>
              <w:t xml:space="preserve"> </w:t>
            </w:r>
          </w:p>
          <w:p w:rsidR="000B502B" w:rsidRDefault="00842B2B">
            <w:pPr>
              <w:pStyle w:val="aa"/>
              <w:spacing w:before="0" w:beforeAutospacing="0" w:after="0" w:afterAutospacing="0"/>
              <w:jc w:val="both"/>
            </w:pPr>
            <w:r>
              <w:rPr>
                <w:rFonts w:eastAsia="Times New Roman"/>
              </w:rPr>
              <w:t xml:space="preserve">Вимоги до повних технологічних циклів виробництва </w:t>
            </w:r>
            <w:r>
              <w:rPr>
                <w:rFonts w:eastAsia="Times New Roman"/>
                <w:b/>
              </w:rPr>
              <w:t>спирту етилового та інших спиртових дистилятів</w:t>
            </w:r>
            <w:r>
              <w:rPr>
                <w:rFonts w:eastAsia="Times New Roman"/>
                <w:b/>
                <w:strike/>
              </w:rPr>
              <w:t>,</w:t>
            </w:r>
            <w:r>
              <w:rPr>
                <w:rFonts w:eastAsia="Times New Roman"/>
                <w:b/>
              </w:rPr>
              <w:t xml:space="preserve"> алкогольних напоїв, в тому числі за коньячною технологією, </w:t>
            </w:r>
            <w:proofErr w:type="spellStart"/>
            <w:r>
              <w:rPr>
                <w:rFonts w:eastAsia="Times New Roman"/>
                <w:b/>
              </w:rPr>
              <w:t>біоетанолу</w:t>
            </w:r>
            <w:proofErr w:type="spellEnd"/>
            <w:r>
              <w:rPr>
                <w:rFonts w:eastAsia="Times New Roman"/>
                <w:b/>
              </w:rPr>
              <w:t>, тютюнових виробів та рідин, що використовуються в електронних сигаретах,</w:t>
            </w:r>
            <w:r>
              <w:rPr>
                <w:rFonts w:eastAsia="Times New Roman"/>
              </w:rPr>
              <w:t xml:space="preserve"> встановлюються центральним органом виконавчої влади, що забезпечує </w:t>
            </w:r>
            <w:r>
              <w:t>формування державної політики у сфері сільського господарства та з питань продовольчої безпеки держави</w:t>
            </w:r>
            <w:r>
              <w:rPr>
                <w:rFonts w:eastAsia="Times New Roman"/>
              </w:rPr>
              <w:t xml:space="preserve">, а вимоги до місць зберігання спирту - </w:t>
            </w:r>
            <w:r>
              <w:rPr>
                <w:rFonts w:eastAsia="Times New Roman"/>
              </w:rPr>
              <w:lastRenderedPageBreak/>
              <w:t>центральним органом виконавчої влади, що забезпечує формування та реалізує державну податкову політику.</w:t>
            </w:r>
            <w:r>
              <w:t xml:space="preserve"> </w:t>
            </w:r>
          </w:p>
          <w:p w:rsidR="000B502B" w:rsidRDefault="000B502B">
            <w:pPr>
              <w:pStyle w:val="aa"/>
              <w:spacing w:before="0" w:beforeAutospacing="0" w:after="0" w:afterAutospacing="0"/>
              <w:jc w:val="both"/>
              <w:rPr>
                <w:rFonts w:eastAsia="Times New Roman"/>
                <w:b/>
              </w:rPr>
            </w:pPr>
          </w:p>
          <w:p w:rsidR="000B502B" w:rsidRDefault="00842B2B">
            <w:pPr>
              <w:pStyle w:val="aa"/>
              <w:spacing w:before="0" w:beforeAutospacing="0" w:after="0" w:afterAutospacing="0"/>
              <w:jc w:val="both"/>
              <w:rPr>
                <w:rFonts w:eastAsia="Times New Roman"/>
              </w:rPr>
            </w:pPr>
            <w:r>
              <w:rPr>
                <w:rFonts w:eastAsia="Times New Roman"/>
                <w:b/>
              </w:rPr>
              <w:t>Вимоги до обліку, зберігання, відпуску, приймання і транспортування спирту суб’єктами господарювання, які здійснюють таку діяльність та які використовують спирт у технологічному процесі, затверджуються центральним органом виконавчої влади, що забезпечує формування та реалізує державну політику економічного, соціального розвитку і торгівлі.</w:t>
            </w:r>
          </w:p>
        </w:tc>
      </w:tr>
      <w:tr w:rsidR="000B502B">
        <w:tc>
          <w:tcPr>
            <w:tcW w:w="7479" w:type="dxa"/>
          </w:tcPr>
          <w:p w:rsidR="000B502B" w:rsidRDefault="00842B2B">
            <w:pPr>
              <w:pStyle w:val="3"/>
              <w:spacing w:before="0" w:beforeAutospacing="0" w:after="0" w:afterAutospacing="0"/>
              <w:jc w:val="both"/>
              <w:rPr>
                <w:b w:val="0"/>
                <w:sz w:val="24"/>
                <w:szCs w:val="24"/>
              </w:rPr>
            </w:pPr>
            <w:r>
              <w:rPr>
                <w:rFonts w:eastAsia="Times New Roman"/>
                <w:b w:val="0"/>
                <w:sz w:val="24"/>
                <w:szCs w:val="24"/>
              </w:rPr>
              <w:lastRenderedPageBreak/>
              <w:t xml:space="preserve">Стаття 18. Заключні положення </w:t>
            </w:r>
          </w:p>
        </w:tc>
        <w:tc>
          <w:tcPr>
            <w:tcW w:w="7655" w:type="dxa"/>
          </w:tcPr>
          <w:p w:rsidR="000B502B" w:rsidRDefault="00842B2B">
            <w:pPr>
              <w:pStyle w:val="3"/>
              <w:spacing w:before="0" w:beforeAutospacing="0" w:after="0" w:afterAutospacing="0"/>
              <w:jc w:val="both"/>
              <w:rPr>
                <w:b w:val="0"/>
                <w:sz w:val="24"/>
                <w:szCs w:val="24"/>
              </w:rPr>
            </w:pPr>
            <w:r>
              <w:rPr>
                <w:rFonts w:eastAsia="Times New Roman"/>
                <w:b w:val="0"/>
                <w:sz w:val="24"/>
                <w:szCs w:val="24"/>
              </w:rPr>
              <w:t xml:space="preserve">Стаття 18. Заключні положення </w:t>
            </w:r>
          </w:p>
        </w:tc>
      </w:tr>
      <w:tr w:rsidR="000B502B">
        <w:tc>
          <w:tcPr>
            <w:tcW w:w="7479" w:type="dxa"/>
          </w:tcPr>
          <w:p w:rsidR="000B502B" w:rsidRDefault="00842B2B">
            <w:pPr>
              <w:pStyle w:val="aa"/>
              <w:spacing w:before="0" w:beforeAutospacing="0" w:after="0" w:afterAutospacing="0"/>
              <w:jc w:val="both"/>
              <w:rPr>
                <w:b/>
              </w:rPr>
            </w:pPr>
            <w:r>
              <w:rPr>
                <w:b/>
              </w:rPr>
              <w:t>Норма відсутня</w:t>
            </w:r>
          </w:p>
        </w:tc>
        <w:tc>
          <w:tcPr>
            <w:tcW w:w="7655" w:type="dxa"/>
          </w:tcPr>
          <w:p w:rsidR="000B502B" w:rsidRDefault="00842B2B">
            <w:pPr>
              <w:pStyle w:val="aa"/>
              <w:spacing w:before="0" w:beforeAutospacing="0" w:after="0" w:afterAutospacing="0"/>
              <w:jc w:val="both"/>
              <w:rPr>
                <w:b/>
              </w:rPr>
            </w:pPr>
            <w:r>
              <w:rPr>
                <w:b/>
              </w:rPr>
              <w:t>До суб’єктів господарювання, які здійснюють виробництво, імпорт, експорт, оптову і роздрібну торгівлю, зберігання товарів (продукції), до складу яких входить хоча б один компонент, що є підакцизним товаром, зазначеним у підпункті 215.3.4 пункту 215.3 Податкового Кодексу України при здійсненні їх виробництва, імпорту, експорту, оптової і роздрібної торгівлі, зберігання протягом 60 календарних днів, з дня набуття чинності підпункту «б» пункту 215.1 статті 215 Податкового  Кодексу України, не застосовуються норми:</w:t>
            </w:r>
          </w:p>
          <w:p w:rsidR="000B502B" w:rsidRDefault="00842B2B">
            <w:pPr>
              <w:pStyle w:val="aa"/>
              <w:spacing w:before="0" w:beforeAutospacing="0" w:after="0" w:afterAutospacing="0"/>
              <w:jc w:val="both"/>
              <w:rPr>
                <w:b/>
              </w:rPr>
            </w:pPr>
            <w:r>
              <w:rPr>
                <w:b/>
              </w:rPr>
              <w:t>абзацу шостого частини другої статті 17 цього Закону;</w:t>
            </w:r>
          </w:p>
          <w:p w:rsidR="000B502B" w:rsidRDefault="00842B2B">
            <w:pPr>
              <w:pStyle w:val="aa"/>
              <w:spacing w:before="0" w:beforeAutospacing="0" w:after="0" w:afterAutospacing="0"/>
              <w:jc w:val="both"/>
              <w:rPr>
                <w:b/>
              </w:rPr>
            </w:pPr>
            <w:r>
              <w:rPr>
                <w:b/>
              </w:rPr>
              <w:t xml:space="preserve">абзаців </w:t>
            </w:r>
            <w:proofErr w:type="spellStart"/>
            <w:r>
              <w:rPr>
                <w:b/>
              </w:rPr>
              <w:t>дев</w:t>
            </w:r>
            <w:proofErr w:type="spellEnd"/>
            <w:r>
              <w:rPr>
                <w:b/>
                <w:lang w:val="ru-RU"/>
              </w:rPr>
              <w:t>’</w:t>
            </w:r>
            <w:proofErr w:type="spellStart"/>
            <w:r>
              <w:rPr>
                <w:b/>
              </w:rPr>
              <w:t>ятого</w:t>
            </w:r>
            <w:proofErr w:type="spellEnd"/>
            <w:r>
              <w:rPr>
                <w:b/>
              </w:rPr>
              <w:t xml:space="preserve"> - десятого частини другої статті 17 цього Закону;</w:t>
            </w:r>
          </w:p>
          <w:p w:rsidR="000B502B" w:rsidRDefault="00842B2B">
            <w:pPr>
              <w:pStyle w:val="aa"/>
              <w:spacing w:before="0" w:beforeAutospacing="0" w:after="0" w:afterAutospacing="0"/>
              <w:jc w:val="both"/>
            </w:pPr>
            <w:r>
              <w:rPr>
                <w:b/>
              </w:rPr>
              <w:t>абзацу двадцять четвертого частини другої статті 17 цього Закону.</w:t>
            </w:r>
          </w:p>
        </w:tc>
      </w:tr>
      <w:tr w:rsidR="000B502B">
        <w:tc>
          <w:tcPr>
            <w:tcW w:w="15134" w:type="dxa"/>
            <w:gridSpan w:val="2"/>
          </w:tcPr>
          <w:p w:rsidR="000B502B" w:rsidRDefault="00842B2B">
            <w:pPr>
              <w:pStyle w:val="aa"/>
              <w:spacing w:before="0" w:beforeAutospacing="0" w:after="0" w:afterAutospacing="0"/>
              <w:jc w:val="center"/>
              <w:rPr>
                <w:b/>
              </w:rPr>
            </w:pPr>
            <w:r>
              <w:rPr>
                <w:b/>
              </w:rPr>
              <w:t xml:space="preserve">Закон України «Про внесення змін до деяких законодавчих актів України щодо обмеження обігу підакцизних товарів, пристроїв для споживання тютюнових виробів без їх згоряння та посилення контролю за </w:t>
            </w:r>
            <w:proofErr w:type="spellStart"/>
            <w:r>
              <w:rPr>
                <w:b/>
              </w:rPr>
              <w:t>продажем</w:t>
            </w:r>
            <w:proofErr w:type="spellEnd"/>
            <w:r>
              <w:rPr>
                <w:b/>
              </w:rPr>
              <w:t xml:space="preserve"> таких товарів»</w:t>
            </w:r>
          </w:p>
        </w:tc>
      </w:tr>
      <w:tr w:rsidR="000B502B">
        <w:tc>
          <w:tcPr>
            <w:tcW w:w="7479" w:type="dxa"/>
          </w:tcPr>
          <w:p w:rsidR="000B502B" w:rsidRDefault="00842B2B">
            <w:pPr>
              <w:pStyle w:val="aa"/>
              <w:spacing w:before="0" w:beforeAutospacing="0" w:after="0" w:afterAutospacing="0"/>
              <w:jc w:val="both"/>
              <w:rPr>
                <w:bCs/>
              </w:rPr>
            </w:pPr>
            <w:r>
              <w:rPr>
                <w:rFonts w:eastAsia="SimSun"/>
                <w:color w:val="333333"/>
                <w:shd w:val="clear" w:color="auto" w:fill="FFFFFF"/>
              </w:rPr>
              <w:t>II. Прикінцеві положення</w:t>
            </w:r>
          </w:p>
        </w:tc>
        <w:tc>
          <w:tcPr>
            <w:tcW w:w="7655" w:type="dxa"/>
          </w:tcPr>
          <w:p w:rsidR="000B502B" w:rsidRDefault="00842B2B">
            <w:pPr>
              <w:pStyle w:val="aa"/>
              <w:spacing w:before="0" w:beforeAutospacing="0" w:after="0" w:afterAutospacing="0"/>
              <w:jc w:val="both"/>
              <w:rPr>
                <w:bCs/>
              </w:rPr>
            </w:pPr>
            <w:r>
              <w:rPr>
                <w:rFonts w:eastAsia="SimSun"/>
                <w:color w:val="333333"/>
                <w:shd w:val="clear" w:color="auto" w:fill="FFFFFF"/>
              </w:rPr>
              <w:t>II. Прикінцеві положення</w:t>
            </w:r>
          </w:p>
        </w:tc>
      </w:tr>
      <w:tr w:rsidR="000B502B">
        <w:tc>
          <w:tcPr>
            <w:tcW w:w="7479" w:type="dxa"/>
          </w:tcPr>
          <w:p w:rsidR="000B502B" w:rsidRDefault="00842B2B">
            <w:pPr>
              <w:pStyle w:val="aa"/>
              <w:spacing w:before="0" w:beforeAutospacing="0" w:after="0" w:afterAutospacing="0"/>
              <w:jc w:val="both"/>
              <w:rPr>
                <w:bCs/>
              </w:rPr>
            </w:pPr>
            <w:r>
              <w:rPr>
                <w:rFonts w:eastAsia="SimSun"/>
                <w:color w:val="333333"/>
                <w:shd w:val="clear" w:color="auto" w:fill="FFFFFF"/>
              </w:rPr>
              <w:t>1. Цей Закон набирає чинності з 1 січня 2021 року, крім </w:t>
            </w:r>
            <w:hyperlink r:id="rId15" w:anchor="n18" w:history="1">
              <w:r>
                <w:rPr>
                  <w:rStyle w:val="a3"/>
                  <w:rFonts w:eastAsia="SimSun"/>
                  <w:color w:val="006600"/>
                  <w:shd w:val="clear" w:color="auto" w:fill="FFFFFF"/>
                </w:rPr>
                <w:t>абзацу другого</w:t>
              </w:r>
            </w:hyperlink>
            <w:r>
              <w:rPr>
                <w:rFonts w:eastAsia="SimSun"/>
                <w:color w:val="333333"/>
                <w:shd w:val="clear" w:color="auto" w:fill="FFFFFF"/>
              </w:rPr>
              <w:t xml:space="preserve"> підпункту 1 пункту 2 розділу I цього Закону, який набирає чинності </w:t>
            </w:r>
            <w:r>
              <w:rPr>
                <w:rFonts w:eastAsia="SimSun"/>
                <w:b/>
                <w:bCs/>
                <w:strike/>
                <w:color w:val="333333"/>
                <w:shd w:val="clear" w:color="auto" w:fill="FFFFFF"/>
              </w:rPr>
              <w:t>через 18 місяців з дня набрання чинності цим Законом</w:t>
            </w:r>
            <w:r>
              <w:rPr>
                <w:rFonts w:eastAsia="SimSun"/>
                <w:color w:val="333333"/>
                <w:shd w:val="clear" w:color="auto" w:fill="FFFFFF"/>
              </w:rPr>
              <w:t>.</w:t>
            </w:r>
          </w:p>
        </w:tc>
        <w:tc>
          <w:tcPr>
            <w:tcW w:w="7655" w:type="dxa"/>
          </w:tcPr>
          <w:p w:rsidR="000B502B" w:rsidRDefault="00842B2B">
            <w:pPr>
              <w:pStyle w:val="aa"/>
              <w:spacing w:before="0" w:beforeAutospacing="0" w:after="0" w:afterAutospacing="0"/>
              <w:jc w:val="both"/>
              <w:rPr>
                <w:bCs/>
              </w:rPr>
            </w:pPr>
            <w:r>
              <w:rPr>
                <w:rFonts w:eastAsia="SimSun"/>
                <w:color w:val="333333"/>
                <w:shd w:val="clear" w:color="auto" w:fill="FFFFFF"/>
              </w:rPr>
              <w:t>1. Цей Закон набирає чинності з 1 січня 2021 року, крім </w:t>
            </w:r>
            <w:hyperlink r:id="rId16" w:anchor="n18" w:history="1">
              <w:r>
                <w:rPr>
                  <w:rStyle w:val="a3"/>
                  <w:rFonts w:eastAsia="SimSun"/>
                  <w:color w:val="006600"/>
                  <w:shd w:val="clear" w:color="auto" w:fill="FFFFFF"/>
                </w:rPr>
                <w:t>абзацу другого</w:t>
              </w:r>
            </w:hyperlink>
            <w:r>
              <w:rPr>
                <w:rFonts w:eastAsia="SimSun"/>
                <w:color w:val="333333"/>
                <w:shd w:val="clear" w:color="auto" w:fill="FFFFFF"/>
              </w:rPr>
              <w:t xml:space="preserve"> підпункту 1 пункту 2 розділу I цього Закону, який набирає чинності </w:t>
            </w:r>
            <w:r>
              <w:rPr>
                <w:rFonts w:eastAsia="SimSun"/>
                <w:b/>
                <w:bCs/>
                <w:color w:val="333333"/>
                <w:shd w:val="clear" w:color="auto" w:fill="FFFFFF"/>
              </w:rPr>
              <w:t>з 1 січня 2023 року</w:t>
            </w:r>
            <w:r>
              <w:rPr>
                <w:rFonts w:eastAsia="SimSun"/>
                <w:color w:val="333333"/>
                <w:shd w:val="clear" w:color="auto" w:fill="FFFFFF"/>
              </w:rPr>
              <w:t>.</w:t>
            </w:r>
          </w:p>
        </w:tc>
      </w:tr>
    </w:tbl>
    <w:p w:rsidR="000B502B" w:rsidRDefault="000B502B">
      <w:pPr>
        <w:spacing w:after="0" w:line="240" w:lineRule="auto"/>
        <w:contextualSpacing/>
        <w:jc w:val="both"/>
        <w:rPr>
          <w:rFonts w:ascii="Times New Roman" w:hAnsi="Times New Roman" w:cs="Times New Roman"/>
          <w:sz w:val="28"/>
          <w:szCs w:val="28"/>
        </w:rPr>
      </w:pPr>
    </w:p>
    <w:p w:rsidR="000B502B" w:rsidRDefault="00842B2B">
      <w:pPr>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0B502B" w:rsidRDefault="00842B2B">
      <w:pPr>
        <w:spacing w:after="0" w:line="240" w:lineRule="auto"/>
        <w:contextualSpacing/>
        <w:jc w:val="both"/>
        <w:rPr>
          <w:rFonts w:ascii="Times New Roman" w:hAnsi="Times New Roman"/>
          <w:b/>
          <w:bCs/>
          <w:sz w:val="24"/>
          <w:szCs w:val="24"/>
        </w:rPr>
      </w:pPr>
      <w:r>
        <w:rPr>
          <w:rFonts w:ascii="Times" w:hAnsi="Times"/>
          <w:b/>
          <w:bCs/>
          <w:color w:val="000000" w:themeColor="text1"/>
          <w:sz w:val="24"/>
          <w:szCs w:val="24"/>
        </w:rPr>
        <w:t xml:space="preserve">Народні депутати України </w:t>
      </w:r>
      <w:r>
        <w:rPr>
          <w:rFonts w:ascii="Times" w:hAnsi="Times"/>
          <w:b/>
          <w:bCs/>
          <w:color w:val="000000" w:themeColor="text1"/>
          <w:sz w:val="24"/>
          <w:szCs w:val="24"/>
        </w:rPr>
        <w:tab/>
      </w:r>
      <w:r>
        <w:rPr>
          <w:rFonts w:ascii="Times" w:hAnsi="Times"/>
          <w:b/>
          <w:bCs/>
          <w:color w:val="000000" w:themeColor="text1"/>
          <w:sz w:val="24"/>
          <w:szCs w:val="24"/>
        </w:rPr>
        <w:tab/>
      </w:r>
      <w:r>
        <w:rPr>
          <w:rFonts w:ascii="Times" w:hAnsi="Times"/>
          <w:b/>
          <w:bCs/>
          <w:color w:val="000000" w:themeColor="text1"/>
          <w:sz w:val="24"/>
          <w:szCs w:val="24"/>
        </w:rPr>
        <w:tab/>
      </w:r>
      <w:r>
        <w:rPr>
          <w:rFonts w:ascii="Times" w:hAnsi="Times"/>
          <w:b/>
          <w:bCs/>
          <w:color w:val="000000" w:themeColor="text1"/>
          <w:sz w:val="24"/>
          <w:szCs w:val="24"/>
        </w:rPr>
        <w:tab/>
      </w:r>
      <w:r>
        <w:rPr>
          <w:rFonts w:ascii="Times" w:hAnsi="Times"/>
          <w:b/>
          <w:bCs/>
          <w:color w:val="000000" w:themeColor="text1"/>
          <w:sz w:val="24"/>
          <w:szCs w:val="24"/>
        </w:rPr>
        <w:tab/>
      </w:r>
      <w:r>
        <w:rPr>
          <w:rFonts w:ascii="Times" w:hAnsi="Times"/>
          <w:b/>
          <w:bCs/>
          <w:color w:val="000000" w:themeColor="text1"/>
          <w:sz w:val="24"/>
          <w:szCs w:val="24"/>
        </w:rPr>
        <w:tab/>
      </w:r>
      <w:r>
        <w:rPr>
          <w:rFonts w:ascii="Times" w:hAnsi="Times"/>
          <w:b/>
          <w:bCs/>
          <w:color w:val="000000" w:themeColor="text1"/>
          <w:sz w:val="24"/>
          <w:szCs w:val="24"/>
        </w:rPr>
        <w:tab/>
      </w:r>
      <w:r>
        <w:rPr>
          <w:rFonts w:ascii="Times" w:hAnsi="Times"/>
          <w:b/>
          <w:bCs/>
          <w:color w:val="000000" w:themeColor="text1"/>
          <w:sz w:val="24"/>
          <w:szCs w:val="24"/>
        </w:rPr>
        <w:tab/>
      </w:r>
      <w:r>
        <w:rPr>
          <w:rFonts w:ascii="Times" w:hAnsi="Times"/>
          <w:b/>
          <w:bCs/>
          <w:color w:val="000000" w:themeColor="text1"/>
          <w:sz w:val="24"/>
          <w:szCs w:val="24"/>
        </w:rPr>
        <w:tab/>
      </w:r>
      <w:r>
        <w:rPr>
          <w:rFonts w:ascii="Times" w:hAnsi="Times"/>
          <w:b/>
          <w:bCs/>
          <w:color w:val="000000" w:themeColor="text1"/>
          <w:sz w:val="24"/>
          <w:szCs w:val="24"/>
        </w:rPr>
        <w:tab/>
      </w:r>
      <w:r>
        <w:rPr>
          <w:rFonts w:ascii="Times" w:hAnsi="Times"/>
          <w:b/>
          <w:bCs/>
          <w:color w:val="000000" w:themeColor="text1"/>
          <w:sz w:val="24"/>
          <w:szCs w:val="24"/>
        </w:rPr>
        <w:tab/>
        <w:t xml:space="preserve">А.І. </w:t>
      </w:r>
      <w:proofErr w:type="spellStart"/>
      <w:r>
        <w:rPr>
          <w:rFonts w:ascii="Times" w:hAnsi="Times"/>
          <w:b/>
          <w:bCs/>
          <w:color w:val="000000" w:themeColor="text1"/>
          <w:sz w:val="24"/>
          <w:szCs w:val="24"/>
        </w:rPr>
        <w:t>Холодов</w:t>
      </w:r>
      <w:proofErr w:type="spellEnd"/>
      <w:r>
        <w:rPr>
          <w:rFonts w:ascii="Times" w:hAnsi="Times"/>
          <w:b/>
          <w:bCs/>
          <w:color w:val="000000" w:themeColor="text1"/>
          <w:sz w:val="24"/>
          <w:szCs w:val="24"/>
        </w:rPr>
        <w:t xml:space="preserve"> </w:t>
      </w:r>
      <w:r>
        <w:rPr>
          <w:rFonts w:ascii="Times New Roman" w:hAnsi="Times New Roman"/>
          <w:b/>
          <w:bCs/>
          <w:sz w:val="24"/>
          <w:szCs w:val="24"/>
        </w:rPr>
        <w:t>(</w:t>
      </w:r>
      <w:proofErr w:type="spellStart"/>
      <w:r>
        <w:rPr>
          <w:rFonts w:ascii="Times New Roman" w:hAnsi="Times New Roman"/>
          <w:b/>
          <w:bCs/>
          <w:sz w:val="24"/>
          <w:szCs w:val="24"/>
        </w:rPr>
        <w:t>посв</w:t>
      </w:r>
      <w:proofErr w:type="spellEnd"/>
      <w:r>
        <w:rPr>
          <w:rFonts w:ascii="Times New Roman" w:hAnsi="Times New Roman"/>
          <w:b/>
          <w:bCs/>
          <w:sz w:val="24"/>
          <w:szCs w:val="24"/>
        </w:rPr>
        <w:t>. №22),</w:t>
      </w:r>
    </w:p>
    <w:p w:rsidR="000B502B" w:rsidRPr="00956322" w:rsidRDefault="00842B2B" w:rsidP="00956322">
      <w:pPr>
        <w:spacing w:after="0" w:line="240" w:lineRule="auto"/>
        <w:ind w:left="9912" w:firstLine="708"/>
        <w:contextualSpacing/>
        <w:jc w:val="both"/>
        <w:rPr>
          <w:rFonts w:ascii="Times New Roman" w:hAnsi="Times New Roman"/>
          <w:b/>
          <w:bCs/>
          <w:sz w:val="24"/>
          <w:szCs w:val="24"/>
        </w:rPr>
      </w:pPr>
      <w:r>
        <w:rPr>
          <w:rFonts w:ascii="Times New Roman" w:hAnsi="Times New Roman"/>
          <w:b/>
          <w:bCs/>
          <w:sz w:val="24"/>
          <w:szCs w:val="24"/>
        </w:rPr>
        <w:t xml:space="preserve">Д.О. </w:t>
      </w:r>
      <w:proofErr w:type="spellStart"/>
      <w:r>
        <w:rPr>
          <w:rFonts w:ascii="Times New Roman" w:hAnsi="Times New Roman"/>
          <w:b/>
          <w:bCs/>
          <w:sz w:val="24"/>
          <w:szCs w:val="24"/>
        </w:rPr>
        <w:t>Гетманцев</w:t>
      </w:r>
      <w:proofErr w:type="spellEnd"/>
      <w:r>
        <w:rPr>
          <w:rFonts w:ascii="Times New Roman" w:hAnsi="Times New Roman"/>
          <w:b/>
          <w:bCs/>
          <w:sz w:val="24"/>
          <w:szCs w:val="24"/>
        </w:rPr>
        <w:t xml:space="preserve"> (</w:t>
      </w:r>
      <w:proofErr w:type="spellStart"/>
      <w:r>
        <w:rPr>
          <w:rFonts w:ascii="Times New Roman" w:hAnsi="Times New Roman"/>
          <w:b/>
          <w:bCs/>
          <w:sz w:val="24"/>
          <w:szCs w:val="24"/>
        </w:rPr>
        <w:t>посв</w:t>
      </w:r>
      <w:proofErr w:type="spellEnd"/>
      <w:r>
        <w:rPr>
          <w:rFonts w:ascii="Times New Roman" w:hAnsi="Times New Roman"/>
          <w:b/>
          <w:bCs/>
          <w:sz w:val="24"/>
          <w:szCs w:val="24"/>
        </w:rPr>
        <w:t>. №20)</w:t>
      </w:r>
      <w:r w:rsidR="00956322">
        <w:rPr>
          <w:rFonts w:ascii="Times New Roman" w:hAnsi="Times New Roman"/>
          <w:b/>
          <w:bCs/>
          <w:sz w:val="24"/>
          <w:szCs w:val="24"/>
        </w:rPr>
        <w:t xml:space="preserve"> </w:t>
      </w:r>
      <w:r>
        <w:rPr>
          <w:rFonts w:ascii="Times" w:hAnsi="Times"/>
          <w:b/>
          <w:bCs/>
          <w:color w:val="000000" w:themeColor="text1"/>
          <w:sz w:val="24"/>
          <w:szCs w:val="24"/>
        </w:rPr>
        <w:t>та інші</w:t>
      </w:r>
    </w:p>
    <w:sectPr w:rsidR="000B502B" w:rsidRPr="00956322">
      <w:headerReference w:type="default" r:id="rId17"/>
      <w:pgSz w:w="16838" w:h="11906" w:orient="landscape"/>
      <w:pgMar w:top="567" w:right="851" w:bottom="170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FA4" w:rsidRDefault="008A7FA4">
      <w:pPr>
        <w:spacing w:line="240" w:lineRule="auto"/>
      </w:pPr>
      <w:r>
        <w:separator/>
      </w:r>
    </w:p>
  </w:endnote>
  <w:endnote w:type="continuationSeparator" w:id="0">
    <w:p w:rsidR="008A7FA4" w:rsidRDefault="008A7F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altName w:val="Times New Roman"/>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FA4" w:rsidRDefault="008A7FA4">
      <w:pPr>
        <w:spacing w:after="0"/>
      </w:pPr>
      <w:r>
        <w:separator/>
      </w:r>
    </w:p>
  </w:footnote>
  <w:footnote w:type="continuationSeparator" w:id="0">
    <w:p w:rsidR="008A7FA4" w:rsidRDefault="008A7FA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7964455"/>
    </w:sdtPr>
    <w:sdtEndPr/>
    <w:sdtContent>
      <w:p w:rsidR="000B502B" w:rsidRDefault="00842B2B">
        <w:pPr>
          <w:pStyle w:val="a6"/>
          <w:jc w:val="center"/>
        </w:pPr>
        <w:r>
          <w:fldChar w:fldCharType="begin"/>
        </w:r>
        <w:r>
          <w:instrText>PAGE   \* MERGEFORMAT</w:instrText>
        </w:r>
        <w:r>
          <w:fldChar w:fldCharType="separate"/>
        </w:r>
        <w:r w:rsidR="0009267F" w:rsidRPr="0009267F">
          <w:rPr>
            <w:noProof/>
            <w:lang w:val="ru-RU"/>
          </w:rPr>
          <w:t>18</w:t>
        </w:r>
        <w:r>
          <w:rPr>
            <w:lang w:val="ru-RU"/>
          </w:rPr>
          <w:fldChar w:fldCharType="end"/>
        </w:r>
      </w:p>
    </w:sdtContent>
  </w:sdt>
  <w:p w:rsidR="000B502B" w:rsidRDefault="000B502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87A"/>
    <w:rsid w:val="00000ABB"/>
    <w:rsid w:val="00000FEA"/>
    <w:rsid w:val="0000186F"/>
    <w:rsid w:val="000024EF"/>
    <w:rsid w:val="00004390"/>
    <w:rsid w:val="00004E7E"/>
    <w:rsid w:val="0000624B"/>
    <w:rsid w:val="00014AB9"/>
    <w:rsid w:val="00016226"/>
    <w:rsid w:val="00020AEA"/>
    <w:rsid w:val="00020E3C"/>
    <w:rsid w:val="0002190B"/>
    <w:rsid w:val="00022F41"/>
    <w:rsid w:val="000246D9"/>
    <w:rsid w:val="00025DD3"/>
    <w:rsid w:val="00027982"/>
    <w:rsid w:val="00030D5E"/>
    <w:rsid w:val="00035786"/>
    <w:rsid w:val="00043738"/>
    <w:rsid w:val="000452CE"/>
    <w:rsid w:val="00046EE3"/>
    <w:rsid w:val="00051E17"/>
    <w:rsid w:val="000558D4"/>
    <w:rsid w:val="00056988"/>
    <w:rsid w:val="00060F7B"/>
    <w:rsid w:val="000614A5"/>
    <w:rsid w:val="00062B6A"/>
    <w:rsid w:val="0006650A"/>
    <w:rsid w:val="000719D0"/>
    <w:rsid w:val="00076D14"/>
    <w:rsid w:val="000814FF"/>
    <w:rsid w:val="000828B5"/>
    <w:rsid w:val="00083091"/>
    <w:rsid w:val="00083345"/>
    <w:rsid w:val="000837EC"/>
    <w:rsid w:val="00083A33"/>
    <w:rsid w:val="00087063"/>
    <w:rsid w:val="0009267F"/>
    <w:rsid w:val="000A3592"/>
    <w:rsid w:val="000A43ED"/>
    <w:rsid w:val="000A577B"/>
    <w:rsid w:val="000A77A9"/>
    <w:rsid w:val="000A7B4E"/>
    <w:rsid w:val="000A7C47"/>
    <w:rsid w:val="000B1891"/>
    <w:rsid w:val="000B3049"/>
    <w:rsid w:val="000B3F75"/>
    <w:rsid w:val="000B3F98"/>
    <w:rsid w:val="000B450C"/>
    <w:rsid w:val="000B502B"/>
    <w:rsid w:val="000B7A90"/>
    <w:rsid w:val="000C1950"/>
    <w:rsid w:val="000C241C"/>
    <w:rsid w:val="000C31C0"/>
    <w:rsid w:val="000C445F"/>
    <w:rsid w:val="000C4B5A"/>
    <w:rsid w:val="000C61FB"/>
    <w:rsid w:val="000C68E7"/>
    <w:rsid w:val="000D15F1"/>
    <w:rsid w:val="000D2479"/>
    <w:rsid w:val="000D2639"/>
    <w:rsid w:val="000D4FCE"/>
    <w:rsid w:val="000E06E6"/>
    <w:rsid w:val="000E3AB2"/>
    <w:rsid w:val="000E3E28"/>
    <w:rsid w:val="000E3F67"/>
    <w:rsid w:val="000E5A16"/>
    <w:rsid w:val="000E6592"/>
    <w:rsid w:val="000E6909"/>
    <w:rsid w:val="000E6A18"/>
    <w:rsid w:val="000E7852"/>
    <w:rsid w:val="000F07D8"/>
    <w:rsid w:val="000F6523"/>
    <w:rsid w:val="00100A55"/>
    <w:rsid w:val="00101F77"/>
    <w:rsid w:val="0010232F"/>
    <w:rsid w:val="001033FC"/>
    <w:rsid w:val="00105A68"/>
    <w:rsid w:val="001062A0"/>
    <w:rsid w:val="00112624"/>
    <w:rsid w:val="0011304E"/>
    <w:rsid w:val="00114620"/>
    <w:rsid w:val="00114CAA"/>
    <w:rsid w:val="00116934"/>
    <w:rsid w:val="00120499"/>
    <w:rsid w:val="00123A08"/>
    <w:rsid w:val="00123A32"/>
    <w:rsid w:val="001249C9"/>
    <w:rsid w:val="00127F01"/>
    <w:rsid w:val="00134219"/>
    <w:rsid w:val="0013763C"/>
    <w:rsid w:val="00137AAF"/>
    <w:rsid w:val="00141EC2"/>
    <w:rsid w:val="00146B0A"/>
    <w:rsid w:val="00146C7E"/>
    <w:rsid w:val="00154CD3"/>
    <w:rsid w:val="00156EA4"/>
    <w:rsid w:val="0015721F"/>
    <w:rsid w:val="00160EBC"/>
    <w:rsid w:val="00161571"/>
    <w:rsid w:val="00163A70"/>
    <w:rsid w:val="00165DB7"/>
    <w:rsid w:val="00167457"/>
    <w:rsid w:val="00171298"/>
    <w:rsid w:val="00171EC3"/>
    <w:rsid w:val="00172DD0"/>
    <w:rsid w:val="00176D62"/>
    <w:rsid w:val="00177DB1"/>
    <w:rsid w:val="00183A65"/>
    <w:rsid w:val="001904B9"/>
    <w:rsid w:val="001908A4"/>
    <w:rsid w:val="001911DF"/>
    <w:rsid w:val="00192568"/>
    <w:rsid w:val="00195137"/>
    <w:rsid w:val="0019530B"/>
    <w:rsid w:val="001964D8"/>
    <w:rsid w:val="001A19E3"/>
    <w:rsid w:val="001A48DA"/>
    <w:rsid w:val="001A5025"/>
    <w:rsid w:val="001A66F6"/>
    <w:rsid w:val="001A75F9"/>
    <w:rsid w:val="001A7F9C"/>
    <w:rsid w:val="001B0651"/>
    <w:rsid w:val="001B0896"/>
    <w:rsid w:val="001B1EBC"/>
    <w:rsid w:val="001B2205"/>
    <w:rsid w:val="001B229D"/>
    <w:rsid w:val="001B2C8B"/>
    <w:rsid w:val="001C1A01"/>
    <w:rsid w:val="001C46D4"/>
    <w:rsid w:val="001C4FB4"/>
    <w:rsid w:val="001D61B4"/>
    <w:rsid w:val="001E01B7"/>
    <w:rsid w:val="001E0397"/>
    <w:rsid w:val="001E0B2B"/>
    <w:rsid w:val="001E237A"/>
    <w:rsid w:val="001E2921"/>
    <w:rsid w:val="001E2BBA"/>
    <w:rsid w:val="001E49F8"/>
    <w:rsid w:val="001E4E43"/>
    <w:rsid w:val="001E501C"/>
    <w:rsid w:val="001F1E7F"/>
    <w:rsid w:val="001F2659"/>
    <w:rsid w:val="001F4DDE"/>
    <w:rsid w:val="001F6952"/>
    <w:rsid w:val="001F71C6"/>
    <w:rsid w:val="00200CAE"/>
    <w:rsid w:val="00202B63"/>
    <w:rsid w:val="00203812"/>
    <w:rsid w:val="0020548A"/>
    <w:rsid w:val="00210F55"/>
    <w:rsid w:val="00211A2F"/>
    <w:rsid w:val="002131AD"/>
    <w:rsid w:val="002144F7"/>
    <w:rsid w:val="00215FB5"/>
    <w:rsid w:val="00216020"/>
    <w:rsid w:val="00216B06"/>
    <w:rsid w:val="00217AA9"/>
    <w:rsid w:val="00227C0E"/>
    <w:rsid w:val="00235BC0"/>
    <w:rsid w:val="00240619"/>
    <w:rsid w:val="002408D9"/>
    <w:rsid w:val="00241A47"/>
    <w:rsid w:val="00243FC6"/>
    <w:rsid w:val="00245A50"/>
    <w:rsid w:val="00253D26"/>
    <w:rsid w:val="00254FD3"/>
    <w:rsid w:val="0025713F"/>
    <w:rsid w:val="002579AB"/>
    <w:rsid w:val="00260CB2"/>
    <w:rsid w:val="00261517"/>
    <w:rsid w:val="0026241F"/>
    <w:rsid w:val="00262632"/>
    <w:rsid w:val="002643A5"/>
    <w:rsid w:val="0027095D"/>
    <w:rsid w:val="0027108B"/>
    <w:rsid w:val="0027177A"/>
    <w:rsid w:val="002717A0"/>
    <w:rsid w:val="00272E09"/>
    <w:rsid w:val="002731FD"/>
    <w:rsid w:val="0027325D"/>
    <w:rsid w:val="00273658"/>
    <w:rsid w:val="002737D6"/>
    <w:rsid w:val="002776C5"/>
    <w:rsid w:val="00280BBA"/>
    <w:rsid w:val="00281D02"/>
    <w:rsid w:val="0028233F"/>
    <w:rsid w:val="002823CF"/>
    <w:rsid w:val="00283F52"/>
    <w:rsid w:val="00287162"/>
    <w:rsid w:val="00287BA2"/>
    <w:rsid w:val="00290B57"/>
    <w:rsid w:val="00291842"/>
    <w:rsid w:val="002920BA"/>
    <w:rsid w:val="002929E3"/>
    <w:rsid w:val="00293249"/>
    <w:rsid w:val="002934CA"/>
    <w:rsid w:val="002941A9"/>
    <w:rsid w:val="002948FF"/>
    <w:rsid w:val="002A0885"/>
    <w:rsid w:val="002A115D"/>
    <w:rsid w:val="002A11EB"/>
    <w:rsid w:val="002A2BB7"/>
    <w:rsid w:val="002A5BD1"/>
    <w:rsid w:val="002A764F"/>
    <w:rsid w:val="002B2892"/>
    <w:rsid w:val="002B3870"/>
    <w:rsid w:val="002B6167"/>
    <w:rsid w:val="002B77CE"/>
    <w:rsid w:val="002B7BB7"/>
    <w:rsid w:val="002C0E28"/>
    <w:rsid w:val="002C112C"/>
    <w:rsid w:val="002C1366"/>
    <w:rsid w:val="002C13AE"/>
    <w:rsid w:val="002C397A"/>
    <w:rsid w:val="002D0842"/>
    <w:rsid w:val="002D0B8D"/>
    <w:rsid w:val="002D22F0"/>
    <w:rsid w:val="002D5F4D"/>
    <w:rsid w:val="002D731D"/>
    <w:rsid w:val="002D73CB"/>
    <w:rsid w:val="002D7426"/>
    <w:rsid w:val="002D7D73"/>
    <w:rsid w:val="002E2686"/>
    <w:rsid w:val="002E5130"/>
    <w:rsid w:val="002E7FAD"/>
    <w:rsid w:val="00300231"/>
    <w:rsid w:val="00301A0B"/>
    <w:rsid w:val="00304682"/>
    <w:rsid w:val="003059A4"/>
    <w:rsid w:val="00305FBC"/>
    <w:rsid w:val="003063EF"/>
    <w:rsid w:val="003068FB"/>
    <w:rsid w:val="0031077D"/>
    <w:rsid w:val="00310BE0"/>
    <w:rsid w:val="00315874"/>
    <w:rsid w:val="00320B7D"/>
    <w:rsid w:val="00320B9F"/>
    <w:rsid w:val="00320E63"/>
    <w:rsid w:val="00321931"/>
    <w:rsid w:val="0032550F"/>
    <w:rsid w:val="003300D0"/>
    <w:rsid w:val="00330ADE"/>
    <w:rsid w:val="0033160D"/>
    <w:rsid w:val="00332C87"/>
    <w:rsid w:val="0033402B"/>
    <w:rsid w:val="00343E1A"/>
    <w:rsid w:val="00343E52"/>
    <w:rsid w:val="003445F7"/>
    <w:rsid w:val="00345602"/>
    <w:rsid w:val="003462E7"/>
    <w:rsid w:val="0035175B"/>
    <w:rsid w:val="00352CDB"/>
    <w:rsid w:val="00355629"/>
    <w:rsid w:val="00360305"/>
    <w:rsid w:val="00362BAC"/>
    <w:rsid w:val="00364E89"/>
    <w:rsid w:val="00366E99"/>
    <w:rsid w:val="003673CE"/>
    <w:rsid w:val="0037186C"/>
    <w:rsid w:val="003744D6"/>
    <w:rsid w:val="00380284"/>
    <w:rsid w:val="00382CE7"/>
    <w:rsid w:val="00383908"/>
    <w:rsid w:val="00392459"/>
    <w:rsid w:val="0039607B"/>
    <w:rsid w:val="003A03B4"/>
    <w:rsid w:val="003A0A3F"/>
    <w:rsid w:val="003A219A"/>
    <w:rsid w:val="003A26FB"/>
    <w:rsid w:val="003A33E7"/>
    <w:rsid w:val="003A4A89"/>
    <w:rsid w:val="003A7EDF"/>
    <w:rsid w:val="003B33BC"/>
    <w:rsid w:val="003B36E5"/>
    <w:rsid w:val="003B60EF"/>
    <w:rsid w:val="003C00C1"/>
    <w:rsid w:val="003C0145"/>
    <w:rsid w:val="003C0A24"/>
    <w:rsid w:val="003C2CCC"/>
    <w:rsid w:val="003C2D49"/>
    <w:rsid w:val="003C39E0"/>
    <w:rsid w:val="003D704F"/>
    <w:rsid w:val="003D70F2"/>
    <w:rsid w:val="003D7E9C"/>
    <w:rsid w:val="003E306F"/>
    <w:rsid w:val="003E3A41"/>
    <w:rsid w:val="003F189B"/>
    <w:rsid w:val="003F5F28"/>
    <w:rsid w:val="00400921"/>
    <w:rsid w:val="0040139A"/>
    <w:rsid w:val="00401442"/>
    <w:rsid w:val="00401FAF"/>
    <w:rsid w:val="004069AE"/>
    <w:rsid w:val="00406A35"/>
    <w:rsid w:val="00406AE1"/>
    <w:rsid w:val="00411E83"/>
    <w:rsid w:val="00412E6D"/>
    <w:rsid w:val="004133FE"/>
    <w:rsid w:val="00414F46"/>
    <w:rsid w:val="004204E8"/>
    <w:rsid w:val="004235B5"/>
    <w:rsid w:val="004252DB"/>
    <w:rsid w:val="00427109"/>
    <w:rsid w:val="00430800"/>
    <w:rsid w:val="00430FA0"/>
    <w:rsid w:val="00431764"/>
    <w:rsid w:val="00432FD2"/>
    <w:rsid w:val="00434498"/>
    <w:rsid w:val="004349BE"/>
    <w:rsid w:val="00434FE6"/>
    <w:rsid w:val="00442480"/>
    <w:rsid w:val="00442818"/>
    <w:rsid w:val="0044298D"/>
    <w:rsid w:val="00443072"/>
    <w:rsid w:val="0044369C"/>
    <w:rsid w:val="00443802"/>
    <w:rsid w:val="00444BDB"/>
    <w:rsid w:val="00446583"/>
    <w:rsid w:val="00450383"/>
    <w:rsid w:val="004507A0"/>
    <w:rsid w:val="0045087F"/>
    <w:rsid w:val="0045297D"/>
    <w:rsid w:val="00460D47"/>
    <w:rsid w:val="00465234"/>
    <w:rsid w:val="004706F2"/>
    <w:rsid w:val="00473ED4"/>
    <w:rsid w:val="0047482B"/>
    <w:rsid w:val="00475427"/>
    <w:rsid w:val="00483357"/>
    <w:rsid w:val="004835EF"/>
    <w:rsid w:val="00484F04"/>
    <w:rsid w:val="00485F12"/>
    <w:rsid w:val="004909EB"/>
    <w:rsid w:val="00492170"/>
    <w:rsid w:val="00492BEB"/>
    <w:rsid w:val="00495E31"/>
    <w:rsid w:val="00497852"/>
    <w:rsid w:val="004A52DE"/>
    <w:rsid w:val="004A7724"/>
    <w:rsid w:val="004B3528"/>
    <w:rsid w:val="004B6EC0"/>
    <w:rsid w:val="004B724B"/>
    <w:rsid w:val="004B7C99"/>
    <w:rsid w:val="004C28B7"/>
    <w:rsid w:val="004C2B0D"/>
    <w:rsid w:val="004C69F8"/>
    <w:rsid w:val="004C7773"/>
    <w:rsid w:val="004C7D81"/>
    <w:rsid w:val="004D005B"/>
    <w:rsid w:val="004D1E93"/>
    <w:rsid w:val="004D25D8"/>
    <w:rsid w:val="004D273B"/>
    <w:rsid w:val="004D2B14"/>
    <w:rsid w:val="004D5897"/>
    <w:rsid w:val="004D787A"/>
    <w:rsid w:val="004E0219"/>
    <w:rsid w:val="004E1ABE"/>
    <w:rsid w:val="004E24E3"/>
    <w:rsid w:val="004E3262"/>
    <w:rsid w:val="004E5F35"/>
    <w:rsid w:val="004E6517"/>
    <w:rsid w:val="004E701B"/>
    <w:rsid w:val="004E7AB0"/>
    <w:rsid w:val="004F1D62"/>
    <w:rsid w:val="004F2761"/>
    <w:rsid w:val="004F7E40"/>
    <w:rsid w:val="00500255"/>
    <w:rsid w:val="00500448"/>
    <w:rsid w:val="00504A86"/>
    <w:rsid w:val="00505C9D"/>
    <w:rsid w:val="005066B6"/>
    <w:rsid w:val="005068DD"/>
    <w:rsid w:val="0050755F"/>
    <w:rsid w:val="0051149F"/>
    <w:rsid w:val="005120E1"/>
    <w:rsid w:val="00513109"/>
    <w:rsid w:val="00513FDC"/>
    <w:rsid w:val="005176B3"/>
    <w:rsid w:val="0052130D"/>
    <w:rsid w:val="00526FEB"/>
    <w:rsid w:val="0053095F"/>
    <w:rsid w:val="00530BCE"/>
    <w:rsid w:val="00531ED4"/>
    <w:rsid w:val="0053458F"/>
    <w:rsid w:val="00535AB7"/>
    <w:rsid w:val="005362CC"/>
    <w:rsid w:val="00536B98"/>
    <w:rsid w:val="0054018A"/>
    <w:rsid w:val="005408BF"/>
    <w:rsid w:val="00543549"/>
    <w:rsid w:val="00544961"/>
    <w:rsid w:val="00544E5B"/>
    <w:rsid w:val="00546403"/>
    <w:rsid w:val="005475E9"/>
    <w:rsid w:val="00547A78"/>
    <w:rsid w:val="00552E70"/>
    <w:rsid w:val="00553EE2"/>
    <w:rsid w:val="00556E8B"/>
    <w:rsid w:val="00560635"/>
    <w:rsid w:val="00560923"/>
    <w:rsid w:val="00561693"/>
    <w:rsid w:val="005663A3"/>
    <w:rsid w:val="00566754"/>
    <w:rsid w:val="005721B2"/>
    <w:rsid w:val="0057566F"/>
    <w:rsid w:val="005772FE"/>
    <w:rsid w:val="00577855"/>
    <w:rsid w:val="005778E8"/>
    <w:rsid w:val="005805DF"/>
    <w:rsid w:val="00585ACD"/>
    <w:rsid w:val="0058646E"/>
    <w:rsid w:val="005900C2"/>
    <w:rsid w:val="00590CC4"/>
    <w:rsid w:val="0059298A"/>
    <w:rsid w:val="005934AB"/>
    <w:rsid w:val="00595872"/>
    <w:rsid w:val="005A3637"/>
    <w:rsid w:val="005A636F"/>
    <w:rsid w:val="005A683E"/>
    <w:rsid w:val="005B2C26"/>
    <w:rsid w:val="005B3B25"/>
    <w:rsid w:val="005B3F4E"/>
    <w:rsid w:val="005B5BB4"/>
    <w:rsid w:val="005C1725"/>
    <w:rsid w:val="005C2B5A"/>
    <w:rsid w:val="005C2F68"/>
    <w:rsid w:val="005D0E56"/>
    <w:rsid w:val="005D0EF2"/>
    <w:rsid w:val="005E16BE"/>
    <w:rsid w:val="005E25BD"/>
    <w:rsid w:val="005E3FB6"/>
    <w:rsid w:val="005E55B8"/>
    <w:rsid w:val="005E6A22"/>
    <w:rsid w:val="005E7788"/>
    <w:rsid w:val="005F0D81"/>
    <w:rsid w:val="005F1BB7"/>
    <w:rsid w:val="005F78AC"/>
    <w:rsid w:val="0060019A"/>
    <w:rsid w:val="00600EA1"/>
    <w:rsid w:val="0060244B"/>
    <w:rsid w:val="00602807"/>
    <w:rsid w:val="00606916"/>
    <w:rsid w:val="00614A7D"/>
    <w:rsid w:val="00620139"/>
    <w:rsid w:val="00621060"/>
    <w:rsid w:val="00621201"/>
    <w:rsid w:val="00621B4C"/>
    <w:rsid w:val="006220B1"/>
    <w:rsid w:val="00622E5A"/>
    <w:rsid w:val="00626615"/>
    <w:rsid w:val="00631075"/>
    <w:rsid w:val="00637F81"/>
    <w:rsid w:val="00642384"/>
    <w:rsid w:val="006515C4"/>
    <w:rsid w:val="00652E98"/>
    <w:rsid w:val="00653642"/>
    <w:rsid w:val="00655599"/>
    <w:rsid w:val="006566EA"/>
    <w:rsid w:val="00656EBB"/>
    <w:rsid w:val="00663771"/>
    <w:rsid w:val="00665DAB"/>
    <w:rsid w:val="00666187"/>
    <w:rsid w:val="00667094"/>
    <w:rsid w:val="00667AC8"/>
    <w:rsid w:val="00670362"/>
    <w:rsid w:val="00670EAE"/>
    <w:rsid w:val="00672884"/>
    <w:rsid w:val="00672920"/>
    <w:rsid w:val="00677999"/>
    <w:rsid w:val="006862D4"/>
    <w:rsid w:val="0069543C"/>
    <w:rsid w:val="00696676"/>
    <w:rsid w:val="006A6221"/>
    <w:rsid w:val="006A6920"/>
    <w:rsid w:val="006A7817"/>
    <w:rsid w:val="006B0564"/>
    <w:rsid w:val="006B3DF7"/>
    <w:rsid w:val="006C14E7"/>
    <w:rsid w:val="006C1563"/>
    <w:rsid w:val="006C17E9"/>
    <w:rsid w:val="006C36AB"/>
    <w:rsid w:val="006C4056"/>
    <w:rsid w:val="006C59D8"/>
    <w:rsid w:val="006C7E13"/>
    <w:rsid w:val="006D190B"/>
    <w:rsid w:val="006D2127"/>
    <w:rsid w:val="006D476B"/>
    <w:rsid w:val="006D6860"/>
    <w:rsid w:val="006D75CF"/>
    <w:rsid w:val="006E0ED8"/>
    <w:rsid w:val="006E1DC9"/>
    <w:rsid w:val="006E3289"/>
    <w:rsid w:val="006E660B"/>
    <w:rsid w:val="006F05DD"/>
    <w:rsid w:val="006F1FE9"/>
    <w:rsid w:val="006F2F14"/>
    <w:rsid w:val="006F48AE"/>
    <w:rsid w:val="006F4C8D"/>
    <w:rsid w:val="006F5308"/>
    <w:rsid w:val="006F6751"/>
    <w:rsid w:val="006F78E9"/>
    <w:rsid w:val="00700611"/>
    <w:rsid w:val="00705345"/>
    <w:rsid w:val="00707774"/>
    <w:rsid w:val="00712EB5"/>
    <w:rsid w:val="007179C0"/>
    <w:rsid w:val="00720898"/>
    <w:rsid w:val="007216AB"/>
    <w:rsid w:val="00727F98"/>
    <w:rsid w:val="00730EA1"/>
    <w:rsid w:val="0073285A"/>
    <w:rsid w:val="007348CB"/>
    <w:rsid w:val="007350DB"/>
    <w:rsid w:val="00735AC7"/>
    <w:rsid w:val="00736755"/>
    <w:rsid w:val="00737ECD"/>
    <w:rsid w:val="00740DFE"/>
    <w:rsid w:val="007417E0"/>
    <w:rsid w:val="0074214B"/>
    <w:rsid w:val="00743BE3"/>
    <w:rsid w:val="00751296"/>
    <w:rsid w:val="007514DA"/>
    <w:rsid w:val="0075336C"/>
    <w:rsid w:val="00754832"/>
    <w:rsid w:val="00755C7F"/>
    <w:rsid w:val="007572A6"/>
    <w:rsid w:val="00757F12"/>
    <w:rsid w:val="00760696"/>
    <w:rsid w:val="007610A4"/>
    <w:rsid w:val="00761138"/>
    <w:rsid w:val="0076160F"/>
    <w:rsid w:val="00771587"/>
    <w:rsid w:val="00771D7F"/>
    <w:rsid w:val="007763C7"/>
    <w:rsid w:val="00776608"/>
    <w:rsid w:val="00776BB1"/>
    <w:rsid w:val="0077734B"/>
    <w:rsid w:val="00777AA4"/>
    <w:rsid w:val="0078043F"/>
    <w:rsid w:val="00780481"/>
    <w:rsid w:val="0078067C"/>
    <w:rsid w:val="00780C14"/>
    <w:rsid w:val="00782FFF"/>
    <w:rsid w:val="007839C1"/>
    <w:rsid w:val="00783C44"/>
    <w:rsid w:val="0078408B"/>
    <w:rsid w:val="00785790"/>
    <w:rsid w:val="00785B95"/>
    <w:rsid w:val="00786C7C"/>
    <w:rsid w:val="0079061D"/>
    <w:rsid w:val="00790C48"/>
    <w:rsid w:val="007916AE"/>
    <w:rsid w:val="00795D9C"/>
    <w:rsid w:val="00797534"/>
    <w:rsid w:val="00797841"/>
    <w:rsid w:val="007A2DE8"/>
    <w:rsid w:val="007A3993"/>
    <w:rsid w:val="007A4177"/>
    <w:rsid w:val="007A43CE"/>
    <w:rsid w:val="007A752C"/>
    <w:rsid w:val="007B0EEF"/>
    <w:rsid w:val="007B279C"/>
    <w:rsid w:val="007B2EF9"/>
    <w:rsid w:val="007B36CB"/>
    <w:rsid w:val="007B555A"/>
    <w:rsid w:val="007B5B31"/>
    <w:rsid w:val="007B60C3"/>
    <w:rsid w:val="007B76D5"/>
    <w:rsid w:val="007C208C"/>
    <w:rsid w:val="007C2611"/>
    <w:rsid w:val="007C7FCD"/>
    <w:rsid w:val="007D0244"/>
    <w:rsid w:val="007D0FAE"/>
    <w:rsid w:val="007D1104"/>
    <w:rsid w:val="007D1296"/>
    <w:rsid w:val="007D3BB6"/>
    <w:rsid w:val="007D3C53"/>
    <w:rsid w:val="007E08AB"/>
    <w:rsid w:val="007E0AF9"/>
    <w:rsid w:val="007E0EA0"/>
    <w:rsid w:val="007E194D"/>
    <w:rsid w:val="007E2D1B"/>
    <w:rsid w:val="007E3A06"/>
    <w:rsid w:val="007F064E"/>
    <w:rsid w:val="007F091E"/>
    <w:rsid w:val="007F0936"/>
    <w:rsid w:val="007F1DAE"/>
    <w:rsid w:val="007F4EC2"/>
    <w:rsid w:val="007F5FA6"/>
    <w:rsid w:val="007F6DCE"/>
    <w:rsid w:val="007F785F"/>
    <w:rsid w:val="00802C28"/>
    <w:rsid w:val="00803758"/>
    <w:rsid w:val="008049D2"/>
    <w:rsid w:val="00807F13"/>
    <w:rsid w:val="00813416"/>
    <w:rsid w:val="008149EB"/>
    <w:rsid w:val="00820099"/>
    <w:rsid w:val="00820615"/>
    <w:rsid w:val="00820843"/>
    <w:rsid w:val="00823761"/>
    <w:rsid w:val="00825572"/>
    <w:rsid w:val="0082656B"/>
    <w:rsid w:val="008275A4"/>
    <w:rsid w:val="0083107C"/>
    <w:rsid w:val="00832542"/>
    <w:rsid w:val="00832A81"/>
    <w:rsid w:val="0083386E"/>
    <w:rsid w:val="008368CE"/>
    <w:rsid w:val="00837161"/>
    <w:rsid w:val="00841434"/>
    <w:rsid w:val="0084238F"/>
    <w:rsid w:val="00842B2B"/>
    <w:rsid w:val="00847203"/>
    <w:rsid w:val="00847643"/>
    <w:rsid w:val="008515DD"/>
    <w:rsid w:val="00853B01"/>
    <w:rsid w:val="00855762"/>
    <w:rsid w:val="00855BB6"/>
    <w:rsid w:val="008561B9"/>
    <w:rsid w:val="00856BD3"/>
    <w:rsid w:val="00857DD2"/>
    <w:rsid w:val="00857EAF"/>
    <w:rsid w:val="008610A1"/>
    <w:rsid w:val="008614A5"/>
    <w:rsid w:val="00861EB0"/>
    <w:rsid w:val="0086435D"/>
    <w:rsid w:val="008657C5"/>
    <w:rsid w:val="008669D3"/>
    <w:rsid w:val="00873883"/>
    <w:rsid w:val="00880E62"/>
    <w:rsid w:val="0088114D"/>
    <w:rsid w:val="0088159E"/>
    <w:rsid w:val="0088320B"/>
    <w:rsid w:val="008845D1"/>
    <w:rsid w:val="0088473A"/>
    <w:rsid w:val="008849B1"/>
    <w:rsid w:val="00885D3C"/>
    <w:rsid w:val="00885E3C"/>
    <w:rsid w:val="008863D0"/>
    <w:rsid w:val="00886CDC"/>
    <w:rsid w:val="008871C5"/>
    <w:rsid w:val="00887AA4"/>
    <w:rsid w:val="0089047B"/>
    <w:rsid w:val="00892049"/>
    <w:rsid w:val="008A0882"/>
    <w:rsid w:val="008A0925"/>
    <w:rsid w:val="008A0DF8"/>
    <w:rsid w:val="008A1744"/>
    <w:rsid w:val="008A1B04"/>
    <w:rsid w:val="008A1FF5"/>
    <w:rsid w:val="008A3A68"/>
    <w:rsid w:val="008A7FA4"/>
    <w:rsid w:val="008B29ED"/>
    <w:rsid w:val="008B32D1"/>
    <w:rsid w:val="008B4880"/>
    <w:rsid w:val="008B6A76"/>
    <w:rsid w:val="008B7965"/>
    <w:rsid w:val="008C446D"/>
    <w:rsid w:val="008C6E04"/>
    <w:rsid w:val="008C78D2"/>
    <w:rsid w:val="008D35B8"/>
    <w:rsid w:val="008D3C1F"/>
    <w:rsid w:val="008D42AD"/>
    <w:rsid w:val="008D4773"/>
    <w:rsid w:val="008D562C"/>
    <w:rsid w:val="008D72EF"/>
    <w:rsid w:val="008D79DA"/>
    <w:rsid w:val="008E1022"/>
    <w:rsid w:val="008E1E81"/>
    <w:rsid w:val="008E34D6"/>
    <w:rsid w:val="008E3D48"/>
    <w:rsid w:val="008E3F0B"/>
    <w:rsid w:val="008E4176"/>
    <w:rsid w:val="008F0E95"/>
    <w:rsid w:val="008F209A"/>
    <w:rsid w:val="008F345D"/>
    <w:rsid w:val="008F4DB7"/>
    <w:rsid w:val="008F5276"/>
    <w:rsid w:val="008F740B"/>
    <w:rsid w:val="009005DC"/>
    <w:rsid w:val="00900AA1"/>
    <w:rsid w:val="00901D01"/>
    <w:rsid w:val="0090377C"/>
    <w:rsid w:val="009060FC"/>
    <w:rsid w:val="0090619F"/>
    <w:rsid w:val="0090711E"/>
    <w:rsid w:val="00907237"/>
    <w:rsid w:val="00910B8C"/>
    <w:rsid w:val="00912744"/>
    <w:rsid w:val="009137FF"/>
    <w:rsid w:val="00920AA9"/>
    <w:rsid w:val="00920BBA"/>
    <w:rsid w:val="009240CF"/>
    <w:rsid w:val="0092713A"/>
    <w:rsid w:val="00927A97"/>
    <w:rsid w:val="00933814"/>
    <w:rsid w:val="00937441"/>
    <w:rsid w:val="00937D9C"/>
    <w:rsid w:val="0094059E"/>
    <w:rsid w:val="00942EB9"/>
    <w:rsid w:val="00946A29"/>
    <w:rsid w:val="00947143"/>
    <w:rsid w:val="00947415"/>
    <w:rsid w:val="009509F6"/>
    <w:rsid w:val="00950A99"/>
    <w:rsid w:val="00950F6F"/>
    <w:rsid w:val="00955F1A"/>
    <w:rsid w:val="00956322"/>
    <w:rsid w:val="0095728D"/>
    <w:rsid w:val="009612FC"/>
    <w:rsid w:val="00961965"/>
    <w:rsid w:val="00961DA6"/>
    <w:rsid w:val="00962132"/>
    <w:rsid w:val="00963C1C"/>
    <w:rsid w:val="009665BE"/>
    <w:rsid w:val="00966F16"/>
    <w:rsid w:val="00967F8B"/>
    <w:rsid w:val="009710EB"/>
    <w:rsid w:val="009713B2"/>
    <w:rsid w:val="00972E62"/>
    <w:rsid w:val="0097510F"/>
    <w:rsid w:val="00975F1B"/>
    <w:rsid w:val="009764E3"/>
    <w:rsid w:val="009819AE"/>
    <w:rsid w:val="009835AF"/>
    <w:rsid w:val="0098435A"/>
    <w:rsid w:val="00984A38"/>
    <w:rsid w:val="00985057"/>
    <w:rsid w:val="009869FC"/>
    <w:rsid w:val="00986D87"/>
    <w:rsid w:val="009928D6"/>
    <w:rsid w:val="00993A78"/>
    <w:rsid w:val="0099653A"/>
    <w:rsid w:val="009968F9"/>
    <w:rsid w:val="0099728C"/>
    <w:rsid w:val="0099739E"/>
    <w:rsid w:val="009973C8"/>
    <w:rsid w:val="009975CE"/>
    <w:rsid w:val="009A2320"/>
    <w:rsid w:val="009A3A82"/>
    <w:rsid w:val="009A4576"/>
    <w:rsid w:val="009A63BB"/>
    <w:rsid w:val="009B0B43"/>
    <w:rsid w:val="009B1A6B"/>
    <w:rsid w:val="009B2A73"/>
    <w:rsid w:val="009B391B"/>
    <w:rsid w:val="009B408B"/>
    <w:rsid w:val="009B7DF0"/>
    <w:rsid w:val="009C0012"/>
    <w:rsid w:val="009C2B7B"/>
    <w:rsid w:val="009C3762"/>
    <w:rsid w:val="009C3DA4"/>
    <w:rsid w:val="009C5429"/>
    <w:rsid w:val="009C593C"/>
    <w:rsid w:val="009C5A99"/>
    <w:rsid w:val="009C5FBE"/>
    <w:rsid w:val="009C741F"/>
    <w:rsid w:val="009D0E86"/>
    <w:rsid w:val="009D14C3"/>
    <w:rsid w:val="009D205C"/>
    <w:rsid w:val="009D604B"/>
    <w:rsid w:val="009D6311"/>
    <w:rsid w:val="009D6652"/>
    <w:rsid w:val="009E012B"/>
    <w:rsid w:val="009E0EF1"/>
    <w:rsid w:val="009E3B6E"/>
    <w:rsid w:val="009E64A9"/>
    <w:rsid w:val="009E7A97"/>
    <w:rsid w:val="009F22D6"/>
    <w:rsid w:val="009F32C9"/>
    <w:rsid w:val="009F7210"/>
    <w:rsid w:val="00A02FC4"/>
    <w:rsid w:val="00A06A77"/>
    <w:rsid w:val="00A107A8"/>
    <w:rsid w:val="00A10939"/>
    <w:rsid w:val="00A10A4D"/>
    <w:rsid w:val="00A110BE"/>
    <w:rsid w:val="00A1253E"/>
    <w:rsid w:val="00A13F4F"/>
    <w:rsid w:val="00A15BD1"/>
    <w:rsid w:val="00A15D63"/>
    <w:rsid w:val="00A21CD9"/>
    <w:rsid w:val="00A2418A"/>
    <w:rsid w:val="00A2554E"/>
    <w:rsid w:val="00A27B0F"/>
    <w:rsid w:val="00A3012B"/>
    <w:rsid w:val="00A31712"/>
    <w:rsid w:val="00A32BD2"/>
    <w:rsid w:val="00A3693D"/>
    <w:rsid w:val="00A36AEB"/>
    <w:rsid w:val="00A449B3"/>
    <w:rsid w:val="00A45311"/>
    <w:rsid w:val="00A4554A"/>
    <w:rsid w:val="00A46F2E"/>
    <w:rsid w:val="00A51D62"/>
    <w:rsid w:val="00A52E74"/>
    <w:rsid w:val="00A55FDD"/>
    <w:rsid w:val="00A567E6"/>
    <w:rsid w:val="00A56BA6"/>
    <w:rsid w:val="00A575FF"/>
    <w:rsid w:val="00A618E3"/>
    <w:rsid w:val="00A631E8"/>
    <w:rsid w:val="00A631EE"/>
    <w:rsid w:val="00A65AF8"/>
    <w:rsid w:val="00A712E7"/>
    <w:rsid w:val="00A744B5"/>
    <w:rsid w:val="00A75A9A"/>
    <w:rsid w:val="00A767BF"/>
    <w:rsid w:val="00A84195"/>
    <w:rsid w:val="00A8444B"/>
    <w:rsid w:val="00A863F8"/>
    <w:rsid w:val="00A9009F"/>
    <w:rsid w:val="00A90DC9"/>
    <w:rsid w:val="00A97310"/>
    <w:rsid w:val="00AA1544"/>
    <w:rsid w:val="00AA159F"/>
    <w:rsid w:val="00AA3AE5"/>
    <w:rsid w:val="00AA69CD"/>
    <w:rsid w:val="00AB1871"/>
    <w:rsid w:val="00AB2102"/>
    <w:rsid w:val="00AB216D"/>
    <w:rsid w:val="00AB23B0"/>
    <w:rsid w:val="00AB2B44"/>
    <w:rsid w:val="00AB71CA"/>
    <w:rsid w:val="00AC0FF5"/>
    <w:rsid w:val="00AC2BDE"/>
    <w:rsid w:val="00AC3062"/>
    <w:rsid w:val="00AC39FF"/>
    <w:rsid w:val="00AC3B8C"/>
    <w:rsid w:val="00AC3F7B"/>
    <w:rsid w:val="00AC724B"/>
    <w:rsid w:val="00AD385F"/>
    <w:rsid w:val="00AD3A3B"/>
    <w:rsid w:val="00AD5C47"/>
    <w:rsid w:val="00AD6E65"/>
    <w:rsid w:val="00AD7A9A"/>
    <w:rsid w:val="00AD7B78"/>
    <w:rsid w:val="00AE03DD"/>
    <w:rsid w:val="00AE3A80"/>
    <w:rsid w:val="00AE62DC"/>
    <w:rsid w:val="00AF2D4E"/>
    <w:rsid w:val="00AF4938"/>
    <w:rsid w:val="00B00C3E"/>
    <w:rsid w:val="00B00DAD"/>
    <w:rsid w:val="00B02539"/>
    <w:rsid w:val="00B03F1F"/>
    <w:rsid w:val="00B04D36"/>
    <w:rsid w:val="00B05A9C"/>
    <w:rsid w:val="00B05DB6"/>
    <w:rsid w:val="00B05E28"/>
    <w:rsid w:val="00B074BF"/>
    <w:rsid w:val="00B11626"/>
    <w:rsid w:val="00B13D07"/>
    <w:rsid w:val="00B16010"/>
    <w:rsid w:val="00B16D7B"/>
    <w:rsid w:val="00B17F2E"/>
    <w:rsid w:val="00B205AD"/>
    <w:rsid w:val="00B22EB5"/>
    <w:rsid w:val="00B24784"/>
    <w:rsid w:val="00B2568D"/>
    <w:rsid w:val="00B26A11"/>
    <w:rsid w:val="00B26D42"/>
    <w:rsid w:val="00B271A4"/>
    <w:rsid w:val="00B3172E"/>
    <w:rsid w:val="00B320AF"/>
    <w:rsid w:val="00B3723C"/>
    <w:rsid w:val="00B41030"/>
    <w:rsid w:val="00B435AA"/>
    <w:rsid w:val="00B50A78"/>
    <w:rsid w:val="00B50C09"/>
    <w:rsid w:val="00B513AA"/>
    <w:rsid w:val="00B513E6"/>
    <w:rsid w:val="00B52FDD"/>
    <w:rsid w:val="00B54D59"/>
    <w:rsid w:val="00B54F95"/>
    <w:rsid w:val="00B61DF3"/>
    <w:rsid w:val="00B63BF2"/>
    <w:rsid w:val="00B732FC"/>
    <w:rsid w:val="00B77CC6"/>
    <w:rsid w:val="00B8091D"/>
    <w:rsid w:val="00B83C17"/>
    <w:rsid w:val="00B85FE4"/>
    <w:rsid w:val="00B867D3"/>
    <w:rsid w:val="00B86B33"/>
    <w:rsid w:val="00B8728D"/>
    <w:rsid w:val="00B87FA4"/>
    <w:rsid w:val="00B925A8"/>
    <w:rsid w:val="00B932A4"/>
    <w:rsid w:val="00B941FF"/>
    <w:rsid w:val="00B96539"/>
    <w:rsid w:val="00B96713"/>
    <w:rsid w:val="00BA1E3E"/>
    <w:rsid w:val="00BA2BBD"/>
    <w:rsid w:val="00BB4056"/>
    <w:rsid w:val="00BB5480"/>
    <w:rsid w:val="00BB58EB"/>
    <w:rsid w:val="00BB7921"/>
    <w:rsid w:val="00BC1284"/>
    <w:rsid w:val="00BC2AD0"/>
    <w:rsid w:val="00BC32DE"/>
    <w:rsid w:val="00BC39DC"/>
    <w:rsid w:val="00BC44A0"/>
    <w:rsid w:val="00BC6394"/>
    <w:rsid w:val="00BD25FF"/>
    <w:rsid w:val="00BD2C2F"/>
    <w:rsid w:val="00BD3FFB"/>
    <w:rsid w:val="00BD41E6"/>
    <w:rsid w:val="00BD43BA"/>
    <w:rsid w:val="00BD4D59"/>
    <w:rsid w:val="00BD52CF"/>
    <w:rsid w:val="00BD6CCB"/>
    <w:rsid w:val="00BE40A0"/>
    <w:rsid w:val="00BE4F4F"/>
    <w:rsid w:val="00BE62EB"/>
    <w:rsid w:val="00BE6459"/>
    <w:rsid w:val="00BF48D2"/>
    <w:rsid w:val="00BF696C"/>
    <w:rsid w:val="00BF6F90"/>
    <w:rsid w:val="00BF777F"/>
    <w:rsid w:val="00C034B6"/>
    <w:rsid w:val="00C04539"/>
    <w:rsid w:val="00C06366"/>
    <w:rsid w:val="00C079E4"/>
    <w:rsid w:val="00C12214"/>
    <w:rsid w:val="00C125B8"/>
    <w:rsid w:val="00C13E56"/>
    <w:rsid w:val="00C144FF"/>
    <w:rsid w:val="00C1584E"/>
    <w:rsid w:val="00C16838"/>
    <w:rsid w:val="00C23152"/>
    <w:rsid w:val="00C25D2F"/>
    <w:rsid w:val="00C328D6"/>
    <w:rsid w:val="00C328E3"/>
    <w:rsid w:val="00C33B0C"/>
    <w:rsid w:val="00C35753"/>
    <w:rsid w:val="00C35989"/>
    <w:rsid w:val="00C35CDC"/>
    <w:rsid w:val="00C36868"/>
    <w:rsid w:val="00C368E4"/>
    <w:rsid w:val="00C36FA5"/>
    <w:rsid w:val="00C371AB"/>
    <w:rsid w:val="00C3760F"/>
    <w:rsid w:val="00C37DC5"/>
    <w:rsid w:val="00C4251D"/>
    <w:rsid w:val="00C469ED"/>
    <w:rsid w:val="00C5028F"/>
    <w:rsid w:val="00C51F3E"/>
    <w:rsid w:val="00C52990"/>
    <w:rsid w:val="00C53AE8"/>
    <w:rsid w:val="00C6004A"/>
    <w:rsid w:val="00C6059C"/>
    <w:rsid w:val="00C6205D"/>
    <w:rsid w:val="00C62137"/>
    <w:rsid w:val="00C626E2"/>
    <w:rsid w:val="00C65685"/>
    <w:rsid w:val="00C6568D"/>
    <w:rsid w:val="00C6581E"/>
    <w:rsid w:val="00C65F1D"/>
    <w:rsid w:val="00C66BF0"/>
    <w:rsid w:val="00C67F7E"/>
    <w:rsid w:val="00C70F53"/>
    <w:rsid w:val="00C7183D"/>
    <w:rsid w:val="00C722E7"/>
    <w:rsid w:val="00C74819"/>
    <w:rsid w:val="00C74CD7"/>
    <w:rsid w:val="00C76A2B"/>
    <w:rsid w:val="00C76E48"/>
    <w:rsid w:val="00C84593"/>
    <w:rsid w:val="00C84779"/>
    <w:rsid w:val="00C84D94"/>
    <w:rsid w:val="00C85C9E"/>
    <w:rsid w:val="00C85E60"/>
    <w:rsid w:val="00C903A0"/>
    <w:rsid w:val="00C90B13"/>
    <w:rsid w:val="00C93E03"/>
    <w:rsid w:val="00C9503E"/>
    <w:rsid w:val="00C95A52"/>
    <w:rsid w:val="00C96DF9"/>
    <w:rsid w:val="00C9718B"/>
    <w:rsid w:val="00CA0F97"/>
    <w:rsid w:val="00CA1C4D"/>
    <w:rsid w:val="00CA267E"/>
    <w:rsid w:val="00CA4A14"/>
    <w:rsid w:val="00CB4FD2"/>
    <w:rsid w:val="00CB5DD0"/>
    <w:rsid w:val="00CC29FB"/>
    <w:rsid w:val="00CC648F"/>
    <w:rsid w:val="00CD5D4E"/>
    <w:rsid w:val="00CD6695"/>
    <w:rsid w:val="00CD796C"/>
    <w:rsid w:val="00CE1C86"/>
    <w:rsid w:val="00CE33DF"/>
    <w:rsid w:val="00CE57BE"/>
    <w:rsid w:val="00CF044D"/>
    <w:rsid w:val="00CF14FA"/>
    <w:rsid w:val="00CF15B4"/>
    <w:rsid w:val="00CF1C76"/>
    <w:rsid w:val="00CF4B8C"/>
    <w:rsid w:val="00CF4E59"/>
    <w:rsid w:val="00CF7C46"/>
    <w:rsid w:val="00D001C0"/>
    <w:rsid w:val="00D013A2"/>
    <w:rsid w:val="00D01B66"/>
    <w:rsid w:val="00D03005"/>
    <w:rsid w:val="00D04ED2"/>
    <w:rsid w:val="00D053AC"/>
    <w:rsid w:val="00D070A8"/>
    <w:rsid w:val="00D11C19"/>
    <w:rsid w:val="00D13669"/>
    <w:rsid w:val="00D2122A"/>
    <w:rsid w:val="00D26091"/>
    <w:rsid w:val="00D263F5"/>
    <w:rsid w:val="00D3123F"/>
    <w:rsid w:val="00D31412"/>
    <w:rsid w:val="00D32BDD"/>
    <w:rsid w:val="00D337CD"/>
    <w:rsid w:val="00D360E4"/>
    <w:rsid w:val="00D42B96"/>
    <w:rsid w:val="00D431A1"/>
    <w:rsid w:val="00D45C68"/>
    <w:rsid w:val="00D46022"/>
    <w:rsid w:val="00D46921"/>
    <w:rsid w:val="00D50CDF"/>
    <w:rsid w:val="00D51A34"/>
    <w:rsid w:val="00D52504"/>
    <w:rsid w:val="00D541FD"/>
    <w:rsid w:val="00D554B2"/>
    <w:rsid w:val="00D57A48"/>
    <w:rsid w:val="00D602AB"/>
    <w:rsid w:val="00D60A81"/>
    <w:rsid w:val="00D61C03"/>
    <w:rsid w:val="00D73D50"/>
    <w:rsid w:val="00D7606E"/>
    <w:rsid w:val="00D80124"/>
    <w:rsid w:val="00D80985"/>
    <w:rsid w:val="00D84B16"/>
    <w:rsid w:val="00D85A16"/>
    <w:rsid w:val="00D9617D"/>
    <w:rsid w:val="00DA4328"/>
    <w:rsid w:val="00DA477C"/>
    <w:rsid w:val="00DA7D55"/>
    <w:rsid w:val="00DB071D"/>
    <w:rsid w:val="00DB1066"/>
    <w:rsid w:val="00DB17E7"/>
    <w:rsid w:val="00DB1A3C"/>
    <w:rsid w:val="00DB5030"/>
    <w:rsid w:val="00DB5702"/>
    <w:rsid w:val="00DC0E7B"/>
    <w:rsid w:val="00DC33C1"/>
    <w:rsid w:val="00DD02C2"/>
    <w:rsid w:val="00DD1704"/>
    <w:rsid w:val="00DD1930"/>
    <w:rsid w:val="00DD1CF2"/>
    <w:rsid w:val="00DD53E7"/>
    <w:rsid w:val="00DD5C91"/>
    <w:rsid w:val="00DD72A2"/>
    <w:rsid w:val="00DE257D"/>
    <w:rsid w:val="00DE47A8"/>
    <w:rsid w:val="00DE4E30"/>
    <w:rsid w:val="00DF1CD6"/>
    <w:rsid w:val="00DF3C58"/>
    <w:rsid w:val="00DF4AFE"/>
    <w:rsid w:val="00DF61CE"/>
    <w:rsid w:val="00E02DEC"/>
    <w:rsid w:val="00E1149B"/>
    <w:rsid w:val="00E1195F"/>
    <w:rsid w:val="00E13AB9"/>
    <w:rsid w:val="00E141C2"/>
    <w:rsid w:val="00E241DF"/>
    <w:rsid w:val="00E265FA"/>
    <w:rsid w:val="00E27A0B"/>
    <w:rsid w:val="00E3161B"/>
    <w:rsid w:val="00E32F44"/>
    <w:rsid w:val="00E338F5"/>
    <w:rsid w:val="00E41FBA"/>
    <w:rsid w:val="00E429BE"/>
    <w:rsid w:val="00E44F90"/>
    <w:rsid w:val="00E455D4"/>
    <w:rsid w:val="00E46926"/>
    <w:rsid w:val="00E51B0F"/>
    <w:rsid w:val="00E549F3"/>
    <w:rsid w:val="00E55429"/>
    <w:rsid w:val="00E578DF"/>
    <w:rsid w:val="00E57959"/>
    <w:rsid w:val="00E57B17"/>
    <w:rsid w:val="00E65A06"/>
    <w:rsid w:val="00E66D4A"/>
    <w:rsid w:val="00E66F90"/>
    <w:rsid w:val="00E71230"/>
    <w:rsid w:val="00E72001"/>
    <w:rsid w:val="00E7342D"/>
    <w:rsid w:val="00E73714"/>
    <w:rsid w:val="00E77526"/>
    <w:rsid w:val="00E80E10"/>
    <w:rsid w:val="00E814D3"/>
    <w:rsid w:val="00E81CD5"/>
    <w:rsid w:val="00E836E9"/>
    <w:rsid w:val="00E84105"/>
    <w:rsid w:val="00E851BE"/>
    <w:rsid w:val="00E903F2"/>
    <w:rsid w:val="00E90E46"/>
    <w:rsid w:val="00E930E3"/>
    <w:rsid w:val="00E93264"/>
    <w:rsid w:val="00E94368"/>
    <w:rsid w:val="00E95C42"/>
    <w:rsid w:val="00EA2C66"/>
    <w:rsid w:val="00EA2D19"/>
    <w:rsid w:val="00EA4C2A"/>
    <w:rsid w:val="00EB02A4"/>
    <w:rsid w:val="00EB05F7"/>
    <w:rsid w:val="00EB2B56"/>
    <w:rsid w:val="00EB381D"/>
    <w:rsid w:val="00EB38F5"/>
    <w:rsid w:val="00EB4C14"/>
    <w:rsid w:val="00EB6BE6"/>
    <w:rsid w:val="00EB74FE"/>
    <w:rsid w:val="00EB7889"/>
    <w:rsid w:val="00EB7890"/>
    <w:rsid w:val="00EC0067"/>
    <w:rsid w:val="00EC08DF"/>
    <w:rsid w:val="00EC3B66"/>
    <w:rsid w:val="00EC4ED1"/>
    <w:rsid w:val="00ED1E0E"/>
    <w:rsid w:val="00ED3FCE"/>
    <w:rsid w:val="00ED5962"/>
    <w:rsid w:val="00ED659A"/>
    <w:rsid w:val="00ED697F"/>
    <w:rsid w:val="00ED6D48"/>
    <w:rsid w:val="00ED74A4"/>
    <w:rsid w:val="00ED7736"/>
    <w:rsid w:val="00EE5FAC"/>
    <w:rsid w:val="00EE636B"/>
    <w:rsid w:val="00EF14A5"/>
    <w:rsid w:val="00EF154B"/>
    <w:rsid w:val="00EF359B"/>
    <w:rsid w:val="00EF3DEC"/>
    <w:rsid w:val="00EF4C1E"/>
    <w:rsid w:val="00EF4E69"/>
    <w:rsid w:val="00EF4F40"/>
    <w:rsid w:val="00EF572F"/>
    <w:rsid w:val="00EF63A6"/>
    <w:rsid w:val="00EF6C9D"/>
    <w:rsid w:val="00EF719C"/>
    <w:rsid w:val="00EF7736"/>
    <w:rsid w:val="00F00256"/>
    <w:rsid w:val="00F00AC5"/>
    <w:rsid w:val="00F00C2B"/>
    <w:rsid w:val="00F0164B"/>
    <w:rsid w:val="00F01B4A"/>
    <w:rsid w:val="00F021DA"/>
    <w:rsid w:val="00F02608"/>
    <w:rsid w:val="00F03E0E"/>
    <w:rsid w:val="00F05655"/>
    <w:rsid w:val="00F05C36"/>
    <w:rsid w:val="00F075FB"/>
    <w:rsid w:val="00F079C6"/>
    <w:rsid w:val="00F107F2"/>
    <w:rsid w:val="00F118ED"/>
    <w:rsid w:val="00F12BE0"/>
    <w:rsid w:val="00F1546B"/>
    <w:rsid w:val="00F20703"/>
    <w:rsid w:val="00F21DA0"/>
    <w:rsid w:val="00F2315C"/>
    <w:rsid w:val="00F23BAE"/>
    <w:rsid w:val="00F25789"/>
    <w:rsid w:val="00F2797E"/>
    <w:rsid w:val="00F33291"/>
    <w:rsid w:val="00F3648E"/>
    <w:rsid w:val="00F370AF"/>
    <w:rsid w:val="00F37A9A"/>
    <w:rsid w:val="00F40865"/>
    <w:rsid w:val="00F40886"/>
    <w:rsid w:val="00F42C00"/>
    <w:rsid w:val="00F438EB"/>
    <w:rsid w:val="00F449B5"/>
    <w:rsid w:val="00F45258"/>
    <w:rsid w:val="00F511BD"/>
    <w:rsid w:val="00F54527"/>
    <w:rsid w:val="00F57507"/>
    <w:rsid w:val="00F63CD0"/>
    <w:rsid w:val="00F73E34"/>
    <w:rsid w:val="00F7429A"/>
    <w:rsid w:val="00F74678"/>
    <w:rsid w:val="00F75492"/>
    <w:rsid w:val="00F762E7"/>
    <w:rsid w:val="00F8040B"/>
    <w:rsid w:val="00F816E9"/>
    <w:rsid w:val="00F82E1C"/>
    <w:rsid w:val="00F84837"/>
    <w:rsid w:val="00F85DA0"/>
    <w:rsid w:val="00F875A2"/>
    <w:rsid w:val="00F90059"/>
    <w:rsid w:val="00F9109D"/>
    <w:rsid w:val="00F94634"/>
    <w:rsid w:val="00F95683"/>
    <w:rsid w:val="00F97ECD"/>
    <w:rsid w:val="00FA15D5"/>
    <w:rsid w:val="00FA324A"/>
    <w:rsid w:val="00FA3D00"/>
    <w:rsid w:val="00FA5139"/>
    <w:rsid w:val="00FA559E"/>
    <w:rsid w:val="00FA5745"/>
    <w:rsid w:val="00FB14FC"/>
    <w:rsid w:val="00FB193D"/>
    <w:rsid w:val="00FB1C07"/>
    <w:rsid w:val="00FB5CBE"/>
    <w:rsid w:val="00FB68A4"/>
    <w:rsid w:val="00FC0F72"/>
    <w:rsid w:val="00FC316A"/>
    <w:rsid w:val="00FC3CA9"/>
    <w:rsid w:val="00FC5384"/>
    <w:rsid w:val="00FD297F"/>
    <w:rsid w:val="00FE0805"/>
    <w:rsid w:val="00FE1613"/>
    <w:rsid w:val="00FE36D2"/>
    <w:rsid w:val="00FE3B49"/>
    <w:rsid w:val="00FF3A78"/>
    <w:rsid w:val="00FF48DF"/>
    <w:rsid w:val="00FF661B"/>
    <w:rsid w:val="021D4F77"/>
    <w:rsid w:val="03F22BB9"/>
    <w:rsid w:val="04817559"/>
    <w:rsid w:val="0CD52C15"/>
    <w:rsid w:val="115C3FC2"/>
    <w:rsid w:val="11627F17"/>
    <w:rsid w:val="18B035B2"/>
    <w:rsid w:val="1A60009D"/>
    <w:rsid w:val="1FED54F6"/>
    <w:rsid w:val="23711A6C"/>
    <w:rsid w:val="23F100EB"/>
    <w:rsid w:val="24947561"/>
    <w:rsid w:val="28F2120C"/>
    <w:rsid w:val="2F5E3C9B"/>
    <w:rsid w:val="32F82474"/>
    <w:rsid w:val="3A63679F"/>
    <w:rsid w:val="3C3D341C"/>
    <w:rsid w:val="3E3E5560"/>
    <w:rsid w:val="496552E6"/>
    <w:rsid w:val="4E636A69"/>
    <w:rsid w:val="548C2983"/>
    <w:rsid w:val="564E3DE4"/>
    <w:rsid w:val="5D59470D"/>
    <w:rsid w:val="62D07346"/>
    <w:rsid w:val="66665C2C"/>
    <w:rsid w:val="69557D28"/>
    <w:rsid w:val="6F021CA7"/>
    <w:rsid w:val="72BE07E9"/>
    <w:rsid w:val="78780574"/>
    <w:rsid w:val="7C51435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Theme="minorHAnsi" w:eastAsiaTheme="minorHAnsi" w:hAnsiTheme="minorHAnsi" w:cstheme="minorBidi"/>
      <w:sz w:val="22"/>
      <w:szCs w:val="22"/>
      <w:lang w:eastAsia="en-US"/>
    </w:rPr>
  </w:style>
  <w:style w:type="paragraph" w:styleId="3">
    <w:name w:val="heading 3"/>
    <w:basedOn w:val="a"/>
    <w:next w:val="a"/>
    <w:link w:val="30"/>
    <w:uiPriority w:val="9"/>
    <w:unhideWhenUsed/>
    <w:qFormat/>
    <w:pPr>
      <w:spacing w:before="100" w:beforeAutospacing="1" w:after="100" w:afterAutospacing="1" w:line="240" w:lineRule="auto"/>
      <w:outlineLvl w:val="2"/>
    </w:pPr>
    <w:rPr>
      <w:rFonts w:ascii="Times New Roman" w:eastAsiaTheme="minorEastAsia"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qFormat/>
    <w:rPr>
      <w:color w:val="0000FF"/>
      <w:u w:val="single"/>
    </w:rPr>
  </w:style>
  <w:style w:type="paragraph" w:styleId="a4">
    <w:name w:val="Balloon Text"/>
    <w:basedOn w:val="a"/>
    <w:link w:val="a5"/>
    <w:uiPriority w:val="99"/>
    <w:semiHidden/>
    <w:unhideWhenUsed/>
    <w:qFormat/>
    <w:pPr>
      <w:spacing w:after="0" w:line="240" w:lineRule="auto"/>
    </w:pPr>
    <w:rPr>
      <w:rFonts w:ascii="Tahoma" w:hAnsi="Tahoma" w:cs="Tahoma"/>
      <w:sz w:val="16"/>
      <w:szCs w:val="16"/>
    </w:rPr>
  </w:style>
  <w:style w:type="paragraph" w:styleId="a6">
    <w:name w:val="header"/>
    <w:basedOn w:val="a"/>
    <w:link w:val="a7"/>
    <w:uiPriority w:val="99"/>
    <w:unhideWhenUsed/>
    <w:qFormat/>
    <w:pPr>
      <w:tabs>
        <w:tab w:val="center" w:pos="4819"/>
        <w:tab w:val="right" w:pos="9639"/>
      </w:tabs>
      <w:spacing w:after="0" w:line="240" w:lineRule="auto"/>
    </w:pPr>
  </w:style>
  <w:style w:type="paragraph" w:styleId="a8">
    <w:name w:val="footer"/>
    <w:basedOn w:val="a"/>
    <w:link w:val="a9"/>
    <w:uiPriority w:val="99"/>
    <w:unhideWhenUsed/>
    <w:qFormat/>
    <w:pPr>
      <w:tabs>
        <w:tab w:val="center" w:pos="4819"/>
        <w:tab w:val="right" w:pos="9639"/>
      </w:tabs>
      <w:spacing w:after="0" w:line="240" w:lineRule="auto"/>
    </w:pPr>
  </w:style>
  <w:style w:type="paragraph" w:styleId="aa">
    <w:name w:val="Normal (Web)"/>
    <w:basedOn w:val="a"/>
    <w:link w:val="ab"/>
    <w:uiPriority w:val="99"/>
    <w:unhideWhenUsed/>
    <w:qFormat/>
    <w:pPr>
      <w:spacing w:before="100" w:beforeAutospacing="1" w:after="100" w:afterAutospacing="1" w:line="240" w:lineRule="auto"/>
    </w:pPr>
    <w:rPr>
      <w:rFonts w:ascii="Times New Roman" w:eastAsiaTheme="minorEastAsia" w:hAnsi="Times New Roman" w:cs="Times New Roman"/>
      <w:sz w:val="24"/>
      <w:szCs w:val="24"/>
      <w:lang w:eastAsia="uk-UA"/>
    </w:rPr>
  </w:style>
  <w:style w:type="paragraph" w:styleId="HTML">
    <w:name w:val="HTML Preformatted"/>
    <w:basedOn w:val="a"/>
    <w:link w:val="HTML0"/>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u-RU" w:eastAsia="ru-RU"/>
    </w:rPr>
  </w:style>
  <w:style w:type="table" w:styleId="ac">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Верхній колонтитул Знак"/>
    <w:basedOn w:val="a0"/>
    <w:link w:val="a6"/>
    <w:uiPriority w:val="99"/>
    <w:qFormat/>
  </w:style>
  <w:style w:type="character" w:customStyle="1" w:styleId="a9">
    <w:name w:val="Нижній колонтитул Знак"/>
    <w:basedOn w:val="a0"/>
    <w:link w:val="a8"/>
    <w:uiPriority w:val="99"/>
    <w:qFormat/>
  </w:style>
  <w:style w:type="character" w:customStyle="1" w:styleId="30">
    <w:name w:val="Заголовок 3 Знак"/>
    <w:basedOn w:val="a0"/>
    <w:link w:val="3"/>
    <w:uiPriority w:val="9"/>
    <w:qFormat/>
    <w:rPr>
      <w:rFonts w:ascii="Times New Roman" w:eastAsiaTheme="minorEastAsia" w:hAnsi="Times New Roman" w:cs="Times New Roman"/>
      <w:b/>
      <w:bCs/>
      <w:sz w:val="27"/>
      <w:szCs w:val="27"/>
      <w:lang w:eastAsia="uk-UA"/>
    </w:rPr>
  </w:style>
  <w:style w:type="character" w:customStyle="1" w:styleId="a5">
    <w:name w:val="Текст у виносці Знак"/>
    <w:basedOn w:val="a0"/>
    <w:link w:val="a4"/>
    <w:uiPriority w:val="99"/>
    <w:semiHidden/>
    <w:qFormat/>
    <w:rPr>
      <w:rFonts w:ascii="Tahoma" w:hAnsi="Tahoma" w:cs="Tahoma"/>
      <w:sz w:val="16"/>
      <w:szCs w:val="16"/>
    </w:rPr>
  </w:style>
  <w:style w:type="character" w:customStyle="1" w:styleId="docdata">
    <w:name w:val="docdata"/>
    <w:basedOn w:val="a0"/>
    <w:qFormat/>
  </w:style>
  <w:style w:type="character" w:customStyle="1" w:styleId="ab">
    <w:name w:val="Звичайний (веб) Знак"/>
    <w:link w:val="aa"/>
    <w:uiPriority w:val="99"/>
    <w:qFormat/>
    <w:locked/>
    <w:rPr>
      <w:rFonts w:ascii="Times New Roman" w:eastAsiaTheme="minorEastAsia" w:hAnsi="Times New Roman" w:cs="Times New Roman"/>
      <w:sz w:val="24"/>
      <w:szCs w:val="24"/>
      <w:lang w:eastAsia="uk-UA"/>
    </w:rPr>
  </w:style>
  <w:style w:type="character" w:customStyle="1" w:styleId="HTML0">
    <w:name w:val="Стандартний HTML Знак"/>
    <w:basedOn w:val="a0"/>
    <w:link w:val="HTML"/>
    <w:uiPriority w:val="99"/>
    <w:qFormat/>
    <w:rPr>
      <w:rFonts w:ascii="Courier New" w:eastAsia="Times New Roman" w:hAnsi="Courier New" w:cs="Times New Roman"/>
      <w:sz w:val="20"/>
      <w:szCs w:val="20"/>
      <w:lang w:val="ru-RU" w:eastAsia="ru-RU"/>
    </w:rPr>
  </w:style>
  <w:style w:type="character" w:customStyle="1" w:styleId="rvts9">
    <w:name w:val="rvts9"/>
    <w:basedOn w:val="a0"/>
    <w:qFormat/>
  </w:style>
  <w:style w:type="paragraph" w:customStyle="1" w:styleId="rvps2">
    <w:name w:val="rvps2"/>
    <w:basedOn w:val="a"/>
    <w:qFormat/>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37">
    <w:name w:val="rvts37"/>
    <w:basedOn w:val="a0"/>
    <w:qFormat/>
  </w:style>
  <w:style w:type="character" w:customStyle="1" w:styleId="rvts46">
    <w:name w:val="rvts46"/>
    <w:basedOn w:val="a0"/>
    <w:qFormat/>
  </w:style>
  <w:style w:type="paragraph" w:customStyle="1" w:styleId="rvps12">
    <w:name w:val="rvps12"/>
    <w:basedOn w:val="a"/>
    <w:qFormat/>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3">
    <w:name w:val="rvts13"/>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584%D0%B0-1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584%D0%B0-18"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on.rada.gov.ua/laws/show/1019-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584%D0%B0-18" TargetMode="External"/><Relationship Id="rId5" Type="http://schemas.openxmlformats.org/officeDocument/2006/relationships/customXml" Target="../customXml/item5.xml"/><Relationship Id="rId15" Type="http://schemas.openxmlformats.org/officeDocument/2006/relationships/hyperlink" Target="https://zakon.rada.gov.ua/laws/show/1019-20"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584%D0%B0-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ectPr/>
  </customSectProps>
</s:customDat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9C7A1-B03A-402A-8B09-B3BB7B81C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D267A0DE-03F8-4C23-B237-DFE8DF2392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DFB149-E353-4649-A5C8-F45DB0765D3B}">
  <ds:schemaRefs>
    <ds:schemaRef ds:uri="http://schemas.microsoft.com/sharepoint/v3/contenttype/forms"/>
  </ds:schemaRefs>
</ds:datastoreItem>
</file>

<file path=customXml/itemProps5.xml><?xml version="1.0" encoding="utf-8"?>
<ds:datastoreItem xmlns:ds="http://schemas.openxmlformats.org/officeDocument/2006/customXml" ds:itemID="{AF77F04B-B83E-4356-80D4-B3FB998F4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25596</Words>
  <Characters>14591</Characters>
  <Application>Microsoft Office Word</Application>
  <DocSecurity>0</DocSecurity>
  <Lines>121</Lines>
  <Paragraphs>80</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40107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2021-11-26T13:02:00Z</dcterms:created>
  <dcterms:modified xsi:type="dcterms:W3CDTF">2021-11-26T13:02:00Z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7B1D9493C90142228DC8C4803F09F1F5</vt:lpwstr>
  </property>
  <property fmtid="{D5CDD505-2E9C-101B-9397-08002B2CF9AE}" pid="4" name="ContentTypeId">
    <vt:lpwstr>0x0101005082CF9611B70740801F57C691914AA100112606590970F34A82426E1C2D62EACA</vt:lpwstr>
  </property>
</Properties>
</file>