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446" w:rsidRDefault="00FB3446" w:rsidP="00F12B93">
      <w:pPr>
        <w:ind w:left="-426"/>
        <w:jc w:val="right"/>
        <w:outlineLvl w:val="4"/>
        <w:rPr>
          <w:b/>
          <w:bCs/>
        </w:rPr>
      </w:pPr>
    </w:p>
    <w:p w:rsidR="00CF36D4" w:rsidRPr="000D2D10" w:rsidRDefault="00CF36D4" w:rsidP="00CF36D4">
      <w:pPr>
        <w:ind w:left="-426"/>
        <w:jc w:val="center"/>
        <w:outlineLvl w:val="4"/>
        <w:rPr>
          <w:b/>
          <w:bCs/>
        </w:rPr>
      </w:pPr>
      <w:r w:rsidRPr="000D2D10">
        <w:rPr>
          <w:b/>
          <w:bCs/>
        </w:rPr>
        <w:t>ВИСНОВОК</w:t>
      </w:r>
      <w:r w:rsidR="005D5608">
        <w:rPr>
          <w:rStyle w:val="a5"/>
          <w:b/>
          <w:bCs/>
        </w:rPr>
        <w:footnoteReference w:id="1"/>
      </w:r>
    </w:p>
    <w:p w:rsidR="00CF36D4" w:rsidRPr="00BA71A0" w:rsidRDefault="00CF36D4" w:rsidP="00CF36D4">
      <w:pPr>
        <w:ind w:left="-426"/>
        <w:jc w:val="center"/>
        <w:outlineLvl w:val="4"/>
        <w:rPr>
          <w:b/>
        </w:rPr>
      </w:pPr>
      <w:r w:rsidRPr="00BA71A0">
        <w:rPr>
          <w:b/>
        </w:rPr>
        <w:t xml:space="preserve">щодо </w:t>
      </w:r>
      <w:proofErr w:type="spellStart"/>
      <w:r w:rsidRPr="00BA71A0">
        <w:rPr>
          <w:b/>
        </w:rPr>
        <w:t>проєкту</w:t>
      </w:r>
      <w:proofErr w:type="spellEnd"/>
      <w:r w:rsidRPr="00BA71A0">
        <w:rPr>
          <w:b/>
        </w:rPr>
        <w:t xml:space="preserve"> Закону України «Про внесення змін до Закону України "Про громадянство України" щодо підстав і порядку набуття та припинення громадянства України» </w:t>
      </w:r>
    </w:p>
    <w:p w:rsidR="00CF36D4" w:rsidRPr="00BA71A0" w:rsidRDefault="00CF36D4" w:rsidP="00CF36D4">
      <w:pPr>
        <w:ind w:left="-426"/>
        <w:jc w:val="center"/>
        <w:outlineLvl w:val="4"/>
        <w:rPr>
          <w:b/>
        </w:rPr>
      </w:pPr>
      <w:r w:rsidRPr="00BA71A0">
        <w:rPr>
          <w:b/>
        </w:rPr>
        <w:t>(реєстр. № 6368 від 02.12.2021 р., Президент України, В. Зеленський)</w:t>
      </w:r>
    </w:p>
    <w:p w:rsidR="00CF36D4" w:rsidRPr="00BA71A0" w:rsidRDefault="00CF36D4" w:rsidP="00CF36D4">
      <w:pPr>
        <w:ind w:left="-426"/>
        <w:jc w:val="center"/>
        <w:outlineLvl w:val="4"/>
        <w:rPr>
          <w:b/>
        </w:rPr>
      </w:pPr>
    </w:p>
    <w:p w:rsidR="00CF36D4" w:rsidRPr="00BA71A0" w:rsidRDefault="00CF36D4" w:rsidP="00CF36D4">
      <w:pPr>
        <w:pStyle w:val="ac"/>
        <w:numPr>
          <w:ilvl w:val="0"/>
          <w:numId w:val="2"/>
        </w:numPr>
        <w:ind w:left="-426" w:firstLine="0"/>
        <w:contextualSpacing w:val="0"/>
        <w:jc w:val="both"/>
        <w:rPr>
          <w:b/>
        </w:rPr>
      </w:pPr>
      <w:r w:rsidRPr="00BA71A0">
        <w:rPr>
          <w:b/>
        </w:rPr>
        <w:t xml:space="preserve">Загальна характеристика </w:t>
      </w:r>
      <w:proofErr w:type="spellStart"/>
      <w:r w:rsidRPr="00BA71A0">
        <w:rPr>
          <w:b/>
        </w:rPr>
        <w:t>законопроєкту</w:t>
      </w:r>
      <w:proofErr w:type="spellEnd"/>
      <w:r w:rsidRPr="00BA71A0">
        <w:rPr>
          <w:b/>
        </w:rPr>
        <w:t>.</w:t>
      </w:r>
    </w:p>
    <w:p w:rsidR="00CF36D4" w:rsidRDefault="00CF36D4" w:rsidP="00CF36D4">
      <w:pPr>
        <w:ind w:left="-426"/>
        <w:jc w:val="both"/>
      </w:pPr>
      <w:r w:rsidRPr="00BA71A0">
        <w:t xml:space="preserve">Відповідно до пояснювальної записки, метою </w:t>
      </w:r>
      <w:proofErr w:type="spellStart"/>
      <w:r w:rsidRPr="00BA71A0">
        <w:t>законопроєкту</w:t>
      </w:r>
      <w:proofErr w:type="spellEnd"/>
      <w:r w:rsidRPr="00BA71A0">
        <w:t xml:space="preserve"> є актуалізація положень законодавства у сфері громадянства, зокрема підстав і порядку набуття та припинення громадянства України.</w:t>
      </w:r>
    </w:p>
    <w:p w:rsidR="00CF36D4" w:rsidRPr="00BA71A0" w:rsidRDefault="00CF36D4" w:rsidP="00CF36D4">
      <w:pPr>
        <w:ind w:left="-426"/>
        <w:jc w:val="both"/>
        <w:rPr>
          <w:b/>
        </w:rPr>
      </w:pPr>
    </w:p>
    <w:p w:rsidR="00CF36D4" w:rsidRPr="00BA71A0" w:rsidRDefault="00CF36D4" w:rsidP="00CF36D4">
      <w:pPr>
        <w:ind w:left="-426"/>
        <w:jc w:val="both"/>
        <w:rPr>
          <w:b/>
          <w:bCs/>
        </w:rPr>
      </w:pPr>
      <w:r w:rsidRPr="00BA71A0">
        <w:rPr>
          <w:rFonts w:eastAsia="Verdana"/>
          <w:b/>
          <w:bCs/>
        </w:rPr>
        <w:t>2.  </w:t>
      </w:r>
      <w:r w:rsidRPr="00BA71A0">
        <w:rPr>
          <w:b/>
          <w:bCs/>
        </w:rPr>
        <w:t xml:space="preserve">Належність </w:t>
      </w:r>
      <w:proofErr w:type="spellStart"/>
      <w:r w:rsidRPr="00BA71A0">
        <w:rPr>
          <w:b/>
          <w:bCs/>
        </w:rPr>
        <w:t>законопроєкту</w:t>
      </w:r>
      <w:proofErr w:type="spellEnd"/>
      <w:r w:rsidRPr="00BA71A0">
        <w:rPr>
          <w:b/>
          <w:bCs/>
        </w:rPr>
        <w:t xml:space="preserve"> за предметом правового регулювання до міжнародно-правових зобов’язань України в сфері європейської інтеграції та сфери дії права Європейського Союзу.</w:t>
      </w:r>
    </w:p>
    <w:p w:rsidR="00CF36D4" w:rsidRPr="00BA71A0" w:rsidRDefault="00CF36D4" w:rsidP="00CF36D4">
      <w:pPr>
        <w:ind w:left="-426"/>
        <w:jc w:val="both"/>
        <w:rPr>
          <w:rFonts w:eastAsia="Arial Unicode MS"/>
          <w:u w:color="000000"/>
          <w:lang w:eastAsia="uk-UA"/>
        </w:rPr>
      </w:pPr>
      <w:r w:rsidRPr="00BA71A0">
        <w:rPr>
          <w:rFonts w:eastAsia="Arial Unicode MS"/>
          <w:u w:color="000000"/>
          <w:lang w:eastAsia="uk-UA"/>
        </w:rPr>
        <w:t xml:space="preserve">Предмет правового регулювання </w:t>
      </w:r>
      <w:proofErr w:type="spellStart"/>
      <w:r w:rsidRPr="00BA71A0">
        <w:rPr>
          <w:rFonts w:eastAsia="Arial Unicode MS"/>
          <w:u w:color="000000"/>
          <w:lang w:eastAsia="uk-UA"/>
        </w:rPr>
        <w:t>законопроєкту</w:t>
      </w:r>
      <w:proofErr w:type="spellEnd"/>
      <w:r w:rsidRPr="00BA71A0">
        <w:rPr>
          <w:rFonts w:eastAsia="Arial Unicode MS"/>
          <w:u w:color="000000"/>
          <w:lang w:eastAsia="uk-UA"/>
        </w:rPr>
        <w:t xml:space="preserve"> охоплюється положеннями статті </w:t>
      </w:r>
      <w:r w:rsidRPr="00BA71A0">
        <w:t xml:space="preserve">2 </w:t>
      </w:r>
      <w:r w:rsidRPr="00BA71A0">
        <w:rPr>
          <w:rFonts w:eastAsia="Arial Unicode MS"/>
          <w:u w:color="000000"/>
          <w:lang w:eastAsia="uk-UA"/>
        </w:rPr>
        <w:t xml:space="preserve">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 </w:t>
      </w:r>
    </w:p>
    <w:p w:rsidR="00CF36D4" w:rsidRPr="00BA71A0" w:rsidRDefault="00CF36D4" w:rsidP="00CF36D4">
      <w:pPr>
        <w:ind w:left="-426"/>
        <w:jc w:val="both"/>
      </w:pPr>
      <w:r w:rsidRPr="00BA71A0">
        <w:t xml:space="preserve">Правовідносини, які є предметом правового регулювання </w:t>
      </w:r>
      <w:proofErr w:type="spellStart"/>
      <w:r w:rsidRPr="00BA71A0">
        <w:t>законопроєкту</w:t>
      </w:r>
      <w:proofErr w:type="spellEnd"/>
      <w:r w:rsidRPr="00BA71A0">
        <w:t>, в Європейському Союзі регулюються:</w:t>
      </w:r>
    </w:p>
    <w:p w:rsidR="00CF36D4" w:rsidRDefault="00CF36D4" w:rsidP="00CF36D4">
      <w:pPr>
        <w:pStyle w:val="ac"/>
        <w:numPr>
          <w:ilvl w:val="0"/>
          <w:numId w:val="1"/>
        </w:numPr>
        <w:tabs>
          <w:tab w:val="left" w:pos="426"/>
        </w:tabs>
        <w:ind w:left="-426" w:firstLine="0"/>
        <w:jc w:val="both"/>
        <w:rPr>
          <w:i/>
        </w:rPr>
      </w:pPr>
      <w:r w:rsidRPr="00BA71A0">
        <w:rPr>
          <w:i/>
        </w:rPr>
        <w:t>Європейською конвенцією про громадянство від 06.11.1997 р.</w:t>
      </w:r>
    </w:p>
    <w:p w:rsidR="00CF36D4" w:rsidRPr="00BA71A0" w:rsidRDefault="00CF36D4" w:rsidP="00CF36D4">
      <w:pPr>
        <w:pStyle w:val="ac"/>
        <w:tabs>
          <w:tab w:val="left" w:pos="426"/>
        </w:tabs>
        <w:ind w:left="-426"/>
        <w:jc w:val="both"/>
        <w:rPr>
          <w:i/>
        </w:rPr>
      </w:pPr>
    </w:p>
    <w:p w:rsidR="00CF36D4" w:rsidRPr="00BA71A0" w:rsidRDefault="00CF36D4" w:rsidP="00CF36D4">
      <w:pPr>
        <w:ind w:left="-426"/>
        <w:jc w:val="both"/>
        <w:rPr>
          <w:b/>
        </w:rPr>
      </w:pPr>
      <w:r w:rsidRPr="00BA71A0">
        <w:rPr>
          <w:rFonts w:eastAsia="Verdana"/>
          <w:b/>
          <w:bCs/>
        </w:rPr>
        <w:t>3.  </w:t>
      </w:r>
      <w:r w:rsidRPr="00BA71A0">
        <w:rPr>
          <w:b/>
        </w:rPr>
        <w:t xml:space="preserve">Відповідність </w:t>
      </w:r>
      <w:proofErr w:type="spellStart"/>
      <w:r w:rsidRPr="00BA71A0">
        <w:rPr>
          <w:b/>
        </w:rPr>
        <w:t>законопроєкту</w:t>
      </w:r>
      <w:proofErr w:type="spellEnd"/>
      <w:r w:rsidRPr="00BA71A0">
        <w:rPr>
          <w:b/>
        </w:rPr>
        <w:t xml:space="preserve"> міжнародно-правовим зобов’язанням України в сфері європейської інтеграції та праву ЄС.</w:t>
      </w:r>
    </w:p>
    <w:p w:rsidR="00CF36D4" w:rsidRPr="00BA71A0" w:rsidRDefault="00CF36D4" w:rsidP="00CF36D4">
      <w:pPr>
        <w:pStyle w:val="HTML"/>
        <w:shd w:val="clear" w:color="auto" w:fill="FFFFFF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BA71A0">
        <w:rPr>
          <w:rFonts w:ascii="Times New Roman" w:hAnsi="Times New Roman" w:cs="Times New Roman"/>
          <w:sz w:val="28"/>
          <w:szCs w:val="28"/>
          <w:lang w:eastAsia="ru-RU"/>
        </w:rPr>
        <w:t xml:space="preserve">Проаналізувавши низку правових актів Європейського Союзу, зокрема, </w:t>
      </w:r>
      <w:r w:rsidRPr="00BA71A0">
        <w:rPr>
          <w:rFonts w:ascii="Times New Roman" w:hAnsi="Times New Roman" w:cs="Times New Roman"/>
          <w:sz w:val="28"/>
          <w:szCs w:val="28"/>
        </w:rPr>
        <w:t>Договір</w:t>
      </w:r>
      <w:r w:rsidRPr="00BA71A0">
        <w:rPr>
          <w:rFonts w:ascii="Times New Roman" w:eastAsia="Calibri" w:hAnsi="Times New Roman" w:cs="Times New Roman"/>
          <w:sz w:val="28"/>
          <w:szCs w:val="28"/>
        </w:rPr>
        <w:t xml:space="preserve"> про за</w:t>
      </w:r>
      <w:r w:rsidRPr="00BA71A0">
        <w:rPr>
          <w:rFonts w:ascii="Times New Roman" w:hAnsi="Times New Roman" w:cs="Times New Roman"/>
          <w:sz w:val="28"/>
          <w:szCs w:val="28"/>
        </w:rPr>
        <w:t>снування Європейської Спільноти, Хартію</w:t>
      </w:r>
      <w:r w:rsidRPr="00BA71A0">
        <w:rPr>
          <w:rFonts w:ascii="Times New Roman" w:eastAsia="Calibri" w:hAnsi="Times New Roman" w:cs="Times New Roman"/>
          <w:sz w:val="28"/>
          <w:szCs w:val="28"/>
        </w:rPr>
        <w:t xml:space="preserve"> основоположних прав Європейського Союзу</w:t>
      </w:r>
      <w:r w:rsidRPr="00BA71A0">
        <w:rPr>
          <w:rFonts w:ascii="Times New Roman" w:hAnsi="Times New Roman" w:cs="Times New Roman"/>
          <w:sz w:val="28"/>
          <w:szCs w:val="28"/>
        </w:rPr>
        <w:t>, які формують правові засади здійснення в публічній сфері прав, що випливають з громадянства особи, зазначимо, що законодавство ЄС не містить обмежень, які б не дозволяли державам-членам визначати вужчі чи ширші рамки втілення в життя своїми громадянами прав, притаманних інституту громадянства.</w:t>
      </w:r>
    </w:p>
    <w:p w:rsidR="00CF36D4" w:rsidRPr="00BA71A0" w:rsidRDefault="00CF36D4" w:rsidP="00CF36D4">
      <w:pPr>
        <w:pStyle w:val="HTML"/>
        <w:shd w:val="clear" w:color="auto" w:fill="FFFFFF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BA71A0">
        <w:rPr>
          <w:rFonts w:ascii="Times New Roman" w:hAnsi="Times New Roman" w:cs="Times New Roman"/>
          <w:sz w:val="28"/>
          <w:szCs w:val="28"/>
        </w:rPr>
        <w:t>Водночас, різні аспекти набуття і припинення громадянства детально регламентує Європейська конвенція про громадянство.</w:t>
      </w:r>
    </w:p>
    <w:p w:rsidR="00CF36D4" w:rsidRPr="00BA71A0" w:rsidRDefault="00CF36D4" w:rsidP="00CF36D4">
      <w:pPr>
        <w:pStyle w:val="ac"/>
        <w:ind w:left="-426"/>
        <w:jc w:val="both"/>
      </w:pPr>
      <w:r w:rsidRPr="00BA71A0">
        <w:lastRenderedPageBreak/>
        <w:t xml:space="preserve">Розділ П </w:t>
      </w:r>
      <w:proofErr w:type="spellStart"/>
      <w:r w:rsidRPr="00BA71A0">
        <w:t>законопроєкту</w:t>
      </w:r>
      <w:proofErr w:type="spellEnd"/>
      <w:r w:rsidRPr="00BA71A0">
        <w:t xml:space="preserve"> (статті 6-15) визначає підстави набуття (прийняття, поновлення) громадянства України для широкого кола осіб: </w:t>
      </w:r>
    </w:p>
    <w:p w:rsidR="00CF36D4" w:rsidRPr="00BA71A0" w:rsidRDefault="00CF36D4" w:rsidP="00CF36D4">
      <w:pPr>
        <w:pStyle w:val="ac"/>
        <w:ind w:left="-426"/>
        <w:jc w:val="both"/>
      </w:pPr>
      <w:r w:rsidRPr="00BA71A0">
        <w:t>за народженням (стаття 7); за територіальним походженням (стаття 8); унаслідок прийняття до громадянства (стаття 9); унаслідок поновлення у громадянстві (стаття 10); унаслідок усиновлення (стаття 11); унаслідок встановлення над дитиною опіки чи піклування, влаштування дитини до закладу охорони здоров’я, закладу освіти або іншого дитячого закладу, дитячого будинку сімейного типу чи прийомної сім’ї (стаття 12); унаслідок встановлення над особою, визнаною судом недієздатною, опіки (стаття 13); у зв’язку з перебуванням у громадянстві України одного чи обох батьків дитини (стаття 14); унаслідок визнання батьківства чи материнства або встановлення факту батьківства чи материнства (стаття 15); інші підстави, передбачені міжнародними договорами України (пункт 10 частини першої статті 6).</w:t>
      </w:r>
    </w:p>
    <w:p w:rsidR="00CF36D4" w:rsidRPr="00BA71A0" w:rsidRDefault="00CF36D4" w:rsidP="00CF36D4">
      <w:pPr>
        <w:pStyle w:val="ac"/>
        <w:ind w:left="-426"/>
        <w:jc w:val="both"/>
      </w:pPr>
      <w:r w:rsidRPr="00BA71A0">
        <w:t>Документ також встановлює обмеження стосовно:</w:t>
      </w:r>
    </w:p>
    <w:p w:rsidR="00CF36D4" w:rsidRPr="00BA71A0" w:rsidRDefault="00CF36D4" w:rsidP="00CF36D4">
      <w:pPr>
        <w:pStyle w:val="ac"/>
        <w:ind w:left="-426"/>
        <w:jc w:val="both"/>
      </w:pPr>
      <w:r w:rsidRPr="00BA71A0">
        <w:t>а) надання громадянства (частина шоста статті 9): громадянство України не надається особі: яка вчинила злочин проти людства чи здійснювала геноцид;  яка засуджена в Україні за вчинення тяжкого або особливо тяжкого злочину (до погашення або зняття судимості) з урахуванням рівня загрози для національної безпеки держави; яка вчинила на території іншої держави діяння, яке визнано законодавством України тяжким або особливо тяжким злочином; дії якої безпосередньо створюють загрозу</w:t>
      </w:r>
      <w:r w:rsidRPr="00BA71A0">
        <w:rPr>
          <w:shd w:val="clear" w:color="auto" w:fill="FFFFFF"/>
        </w:rPr>
        <w:t xml:space="preserve"> </w:t>
      </w:r>
      <w:r w:rsidRPr="00BA71A0">
        <w:t>національній безпеці та національним інтересам України;</w:t>
      </w:r>
    </w:p>
    <w:p w:rsidR="00CF36D4" w:rsidRPr="00BA71A0" w:rsidRDefault="00CF36D4" w:rsidP="00CF36D4">
      <w:pPr>
        <w:pStyle w:val="ac"/>
        <w:ind w:left="-426"/>
        <w:jc w:val="both"/>
      </w:pPr>
      <w:r w:rsidRPr="00BA71A0">
        <w:t xml:space="preserve">б) поновлення в громадянстві (частина третя статті 10): у громадянстві України не поновлюються особи, які відповідно до частини шостої статті 9 цього Закону не приймаються до громадянства України (крім випадку, передбаченого частиною сьомою статті 9 цього Закону: іноземці, прийняття яких до громадянства України становить державний інтерес України); особи, які втратили громадянство України на підставі пункту 2 частини першої статті 20 цього Закону (використання повнолітнім громадянином України, який має громадянство (підданство) іноземної держави, на території України паспортного документа іноземця, наслідком якого є створення загроз національній безпеці, національним інтересам України); особи, стосовно яких рішення про оформлення набуття громадянства України скасовані на підставі статті 22 цього Закону (якщо таке рішення прийнято внаслідок подання неправдивих відомостей, підроблених документів, приховування особою будь-якого суттєвого факту, за наявності якого стосовно особи не могло бути прийнято рішення про набуття громадянства, або обману, у тому числі невиконання зобов’язання, взятого особою в зобов’язанні припинити іноземне громадянство, в декларації про відмову від іноземного громадянства та визнання себе лише громадянином України).  </w:t>
      </w:r>
    </w:p>
    <w:p w:rsidR="00CF36D4" w:rsidRPr="00BA71A0" w:rsidRDefault="00CF36D4" w:rsidP="00CF36D4">
      <w:pPr>
        <w:pStyle w:val="ac"/>
        <w:ind w:left="-426"/>
        <w:jc w:val="both"/>
      </w:pPr>
      <w:r w:rsidRPr="00BA71A0">
        <w:t xml:space="preserve">Крім того, </w:t>
      </w:r>
      <w:proofErr w:type="spellStart"/>
      <w:r w:rsidRPr="00BA71A0">
        <w:t>законопроєктом</w:t>
      </w:r>
      <w:proofErr w:type="spellEnd"/>
      <w:r w:rsidRPr="00BA71A0">
        <w:t xml:space="preserve"> (стаття 17) передбачені особливі умови і процедури набуття громадянства і поновлення в громадянстві України для деяких категорій іноземців (громадян держав так званого міграційного ризику).</w:t>
      </w:r>
    </w:p>
    <w:p w:rsidR="00CF36D4" w:rsidRPr="00BA71A0" w:rsidRDefault="00CF36D4" w:rsidP="00CF36D4">
      <w:pPr>
        <w:pBdr>
          <w:top w:val="nil"/>
          <w:left w:val="nil"/>
          <w:bottom w:val="nil"/>
          <w:right w:val="nil"/>
          <w:between w:val="nil"/>
        </w:pBdr>
        <w:ind w:left="-426"/>
        <w:jc w:val="both"/>
        <w:rPr>
          <w:strike/>
        </w:rPr>
      </w:pPr>
      <w:r w:rsidRPr="00BA71A0">
        <w:t xml:space="preserve">У </w:t>
      </w:r>
      <w:proofErr w:type="spellStart"/>
      <w:r w:rsidRPr="00BA71A0">
        <w:t>проєкті</w:t>
      </w:r>
      <w:proofErr w:type="spellEnd"/>
      <w:r w:rsidRPr="00BA71A0">
        <w:t xml:space="preserve"> Закону зазначаються також підстави для втрати громадянства України: використання повнолітнім громадянином України, який має громадянство (підданство) іноземної держави, на території України паспортного документа іноземця, наслідком якого є створення загроз національній безпеці, національним </w:t>
      </w:r>
      <w:r w:rsidRPr="00BA71A0">
        <w:lastRenderedPageBreak/>
        <w:t xml:space="preserve">інтересам України; набуття особою громадянства України на підставі статті 9 цього Закону внаслідок подання неправдивих відомостей, підроблених документів, приховування особою будь-якого суттєвого факту, за наявності якого стосовно  особи не могло бути прийнято рішення про прийняття до громадянства, обману, у тому числі невиконання зобов’язання, взятого особою в зобов’язанні припинити іноземне громадянство, в декларації про відмову від іноземного громадянства та визнання себе лише громадянином України;  встановлення факту проходження військової служби за контрактом у державі, визнаної Верховною Радою України державою-агресором або державою-окупантом, особами, які на момент проходження військової служби мали (мають) громадянство України. </w:t>
      </w:r>
      <w:r w:rsidRPr="00BA71A0">
        <w:rPr>
          <w:strike/>
        </w:rPr>
        <w:t xml:space="preserve"> </w:t>
      </w:r>
    </w:p>
    <w:p w:rsidR="00CF36D4" w:rsidRPr="00BA71A0" w:rsidRDefault="00CF36D4" w:rsidP="00CF36D4">
      <w:pPr>
        <w:pBdr>
          <w:top w:val="nil"/>
          <w:left w:val="nil"/>
          <w:bottom w:val="nil"/>
          <w:right w:val="nil"/>
          <w:between w:val="nil"/>
        </w:pBdr>
        <w:ind w:left="-426"/>
        <w:jc w:val="both"/>
        <w:rPr>
          <w:shd w:val="clear" w:color="auto" w:fill="FFFFFF"/>
        </w:rPr>
      </w:pPr>
      <w:r w:rsidRPr="00BA71A0">
        <w:t>Як зазначено у пояснювальній доповіді до Європейської конвенції про громадянство: «</w:t>
      </w:r>
      <w:r w:rsidRPr="00BA71A0">
        <w:rPr>
          <w:shd w:val="clear" w:color="auto" w:fill="FFFFFF"/>
        </w:rPr>
        <w:t xml:space="preserve">як правило, вважається, що питання громадянства підпадають під внутрішню юрисдикцію кожної держави; це є основним принципом міжнародного публічного права, закріпленим у статті 1 Гаазької конвенції 1930 року з деяких питань, що стосуються колізії законів про громадянство, та підтвердженим у статті 2 цієї Конвенції, а саме, що: «кожна держава визначає відповідно до свого законодавства, хто є її громадянами». Крім того, обидві ці статті передбачають, що «це законодавство визнається іншими державами, якщо воно відповідає застосовним міжнародним конвенціям, міжнародному звичаєвому праву та загальновизнаним правовим принципам щодо громадянства». </w:t>
      </w:r>
    </w:p>
    <w:p w:rsidR="00CF36D4" w:rsidRPr="00BA71A0" w:rsidRDefault="00CF36D4" w:rsidP="00CF36D4">
      <w:pPr>
        <w:pBdr>
          <w:top w:val="nil"/>
          <w:left w:val="nil"/>
          <w:bottom w:val="nil"/>
          <w:right w:val="nil"/>
          <w:between w:val="nil"/>
        </w:pBdr>
        <w:ind w:left="-426"/>
        <w:jc w:val="both"/>
      </w:pPr>
      <w:proofErr w:type="spellStart"/>
      <w:r w:rsidRPr="00BA71A0">
        <w:t>Законопроєктом</w:t>
      </w:r>
      <w:proofErr w:type="spellEnd"/>
      <w:r w:rsidRPr="00BA71A0">
        <w:t xml:space="preserve"> охоплюється широке коло суб’єктів набуття громадянства, яке перевищує перелік, визначений статтею 6 Конвенції. Водночас, законодавча ініціатива встановлює досить низький ценз осілості – 5 </w:t>
      </w:r>
      <w:r>
        <w:t>років</w:t>
      </w:r>
      <w:r w:rsidRPr="00BA71A0">
        <w:t xml:space="preserve"> (як одну з умов натуралізації), - тоді як міжнародний договір допускає 10 років. В аспекті цих положень </w:t>
      </w:r>
      <w:proofErr w:type="spellStart"/>
      <w:r w:rsidRPr="00BA71A0">
        <w:t>законопроєкт</w:t>
      </w:r>
      <w:proofErr w:type="spellEnd"/>
      <w:r w:rsidRPr="00BA71A0">
        <w:t xml:space="preserve"> </w:t>
      </w:r>
      <w:r w:rsidRPr="00BA71A0">
        <w:rPr>
          <w:i/>
          <w:u w:val="single"/>
        </w:rPr>
        <w:t>не суперечить</w:t>
      </w:r>
      <w:r w:rsidRPr="00BA71A0">
        <w:t xml:space="preserve"> вимогам Конвенції.</w:t>
      </w:r>
    </w:p>
    <w:p w:rsidR="00CF36D4" w:rsidRDefault="00CF36D4" w:rsidP="00CF36D4">
      <w:pPr>
        <w:pBdr>
          <w:top w:val="nil"/>
          <w:left w:val="nil"/>
          <w:bottom w:val="nil"/>
          <w:right w:val="nil"/>
          <w:between w:val="nil"/>
        </w:pBdr>
        <w:ind w:left="-426"/>
        <w:jc w:val="both"/>
      </w:pPr>
      <w:r w:rsidRPr="00BA71A0">
        <w:t xml:space="preserve">Більш того, як зазначається в пункті 51 Пояснювальної доповіді, держава-учасниця може встановлювати додаткові </w:t>
      </w:r>
      <w:proofErr w:type="spellStart"/>
      <w:r w:rsidRPr="00BA71A0">
        <w:t>обгрунтовані</w:t>
      </w:r>
      <w:proofErr w:type="spellEnd"/>
      <w:r w:rsidRPr="00BA71A0">
        <w:t xml:space="preserve"> умови надання свого громадянства (шляхом натуралізації). Відтак, положення статей 6-15 </w:t>
      </w:r>
      <w:proofErr w:type="spellStart"/>
      <w:r w:rsidRPr="00BA71A0">
        <w:t>законопроєкту</w:t>
      </w:r>
      <w:proofErr w:type="spellEnd"/>
      <w:r w:rsidRPr="00BA71A0">
        <w:t xml:space="preserve"> </w:t>
      </w:r>
      <w:r w:rsidRPr="00BA71A0">
        <w:rPr>
          <w:i/>
          <w:u w:val="single"/>
        </w:rPr>
        <w:t>не суперечать</w:t>
      </w:r>
      <w:r w:rsidRPr="00BA71A0">
        <w:t xml:space="preserve"> Конвенції.</w:t>
      </w:r>
    </w:p>
    <w:p w:rsidR="00CF36D4" w:rsidRPr="00BA71A0" w:rsidRDefault="00CF36D4" w:rsidP="00CF36D4">
      <w:pPr>
        <w:pBdr>
          <w:top w:val="nil"/>
          <w:left w:val="nil"/>
          <w:bottom w:val="nil"/>
          <w:right w:val="nil"/>
          <w:between w:val="nil"/>
        </w:pBdr>
        <w:ind w:left="-426"/>
        <w:jc w:val="both"/>
      </w:pPr>
    </w:p>
    <w:p w:rsidR="00CF36D4" w:rsidRPr="00BA71A0" w:rsidRDefault="00CF36D4" w:rsidP="00CF36D4">
      <w:pPr>
        <w:ind w:left="-426"/>
        <w:jc w:val="both"/>
        <w:rPr>
          <w:bCs/>
        </w:rPr>
      </w:pPr>
      <w:r w:rsidRPr="00BA71A0">
        <w:rPr>
          <w:rFonts w:eastAsia="Verdana"/>
          <w:b/>
          <w:bCs/>
        </w:rPr>
        <w:t>4.</w:t>
      </w:r>
      <w:r w:rsidRPr="00BA71A0">
        <w:rPr>
          <w:rFonts w:eastAsia="Verdana"/>
          <w:bCs/>
        </w:rPr>
        <w:t>   </w:t>
      </w:r>
      <w:r w:rsidRPr="00BA71A0">
        <w:rPr>
          <w:b/>
        </w:rPr>
        <w:t xml:space="preserve">Висновок Комітету з питань інтеграції України до Європейського Союзу. </w:t>
      </w:r>
    </w:p>
    <w:p w:rsidR="00CF36D4" w:rsidRPr="00BA71A0" w:rsidRDefault="00CF36D4" w:rsidP="00CF36D4">
      <w:pPr>
        <w:tabs>
          <w:tab w:val="left" w:pos="426"/>
        </w:tabs>
        <w:ind w:left="-426"/>
        <w:jc w:val="both"/>
        <w:rPr>
          <w:b/>
        </w:rPr>
      </w:pPr>
      <w:proofErr w:type="spellStart"/>
      <w:r w:rsidRPr="00BA71A0">
        <w:t>Проєкт</w:t>
      </w:r>
      <w:proofErr w:type="spellEnd"/>
      <w:r w:rsidRPr="00BA71A0">
        <w:t xml:space="preserve"> Закону </w:t>
      </w:r>
      <w:r w:rsidRPr="00BA71A0">
        <w:rPr>
          <w:b/>
        </w:rPr>
        <w:t>не суперечить</w:t>
      </w:r>
      <w:r w:rsidRPr="00BA71A0">
        <w:t xml:space="preserve"> міжнародно-правовим зобов’язанням України</w:t>
      </w:r>
      <w:r w:rsidRPr="00BA71A0">
        <w:rPr>
          <w:b/>
        </w:rPr>
        <w:t>.</w:t>
      </w:r>
    </w:p>
    <w:p w:rsidR="009969AA" w:rsidRPr="009969AA" w:rsidRDefault="009969AA" w:rsidP="00CF36D4">
      <w:pPr>
        <w:ind w:left="-426"/>
        <w:jc w:val="right"/>
        <w:outlineLvl w:val="4"/>
        <w:rPr>
          <w:sz w:val="24"/>
        </w:rPr>
      </w:pPr>
    </w:p>
    <w:sectPr w:rsidR="009969AA" w:rsidRPr="009969AA" w:rsidSect="00C711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707" w:bottom="850" w:left="1560" w:header="708" w:footer="64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A17" w:rsidRDefault="00A57A17" w:rsidP="004D14D5">
      <w:r>
        <w:separator/>
      </w:r>
    </w:p>
  </w:endnote>
  <w:endnote w:type="continuationSeparator" w:id="0">
    <w:p w:rsidR="00A57A17" w:rsidRDefault="00A57A17" w:rsidP="004D1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4D3" w:rsidRDefault="009064D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717740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F87EE7" w:rsidRPr="00E1148D" w:rsidRDefault="00B330E2">
        <w:pPr>
          <w:pStyle w:val="a3"/>
          <w:jc w:val="center"/>
          <w:rPr>
            <w:sz w:val="24"/>
            <w:szCs w:val="24"/>
          </w:rPr>
        </w:pPr>
        <w:r w:rsidRPr="00E1148D">
          <w:rPr>
            <w:sz w:val="24"/>
            <w:szCs w:val="24"/>
          </w:rPr>
          <w:fldChar w:fldCharType="begin"/>
        </w:r>
        <w:r w:rsidRPr="00E1148D">
          <w:rPr>
            <w:sz w:val="24"/>
            <w:szCs w:val="24"/>
          </w:rPr>
          <w:instrText>PAGE   \* MERGEFORMAT</w:instrText>
        </w:r>
        <w:r w:rsidRPr="00E1148D">
          <w:rPr>
            <w:sz w:val="24"/>
            <w:szCs w:val="24"/>
          </w:rPr>
          <w:fldChar w:fldCharType="separate"/>
        </w:r>
        <w:r w:rsidR="00F9792E">
          <w:rPr>
            <w:noProof/>
            <w:sz w:val="24"/>
            <w:szCs w:val="24"/>
          </w:rPr>
          <w:t>2</w:t>
        </w:r>
        <w:r w:rsidRPr="00E1148D">
          <w:rPr>
            <w:sz w:val="24"/>
            <w:szCs w:val="24"/>
          </w:rPr>
          <w:fldChar w:fldCharType="end"/>
        </w:r>
      </w:p>
    </w:sdtContent>
  </w:sdt>
  <w:p w:rsidR="00F87EE7" w:rsidRDefault="00A57A17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4D3" w:rsidRDefault="009064D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A17" w:rsidRDefault="00A57A17" w:rsidP="004D14D5">
      <w:r>
        <w:separator/>
      </w:r>
    </w:p>
  </w:footnote>
  <w:footnote w:type="continuationSeparator" w:id="0">
    <w:p w:rsidR="00A57A17" w:rsidRDefault="00A57A17" w:rsidP="004D14D5">
      <w:r>
        <w:continuationSeparator/>
      </w:r>
    </w:p>
  </w:footnote>
  <w:footnote w:id="1">
    <w:p w:rsidR="005D5608" w:rsidRPr="005D5608" w:rsidRDefault="005D5608">
      <w:pPr>
        <w:pStyle w:val="a6"/>
      </w:pPr>
      <w:r>
        <w:rPr>
          <w:rStyle w:val="a5"/>
        </w:rPr>
        <w:footnoteRef/>
      </w:r>
      <w:r>
        <w:t xml:space="preserve"> </w:t>
      </w:r>
      <w:r>
        <w:rPr>
          <w:sz w:val="24"/>
        </w:rPr>
        <w:t xml:space="preserve">Комітет розглянув </w:t>
      </w:r>
      <w:proofErr w:type="spellStart"/>
      <w:r>
        <w:rPr>
          <w:sz w:val="24"/>
        </w:rPr>
        <w:t>проє</w:t>
      </w:r>
      <w:r w:rsidRPr="008243C8">
        <w:rPr>
          <w:sz w:val="24"/>
        </w:rPr>
        <w:t>кт</w:t>
      </w:r>
      <w:proofErr w:type="spellEnd"/>
      <w:r w:rsidRPr="008243C8">
        <w:rPr>
          <w:sz w:val="24"/>
        </w:rPr>
        <w:t xml:space="preserve"> Закону на своєму засіданні </w:t>
      </w:r>
      <w:r>
        <w:rPr>
          <w:sz w:val="24"/>
        </w:rPr>
        <w:t>26</w:t>
      </w:r>
      <w:r w:rsidRPr="008243C8">
        <w:rPr>
          <w:sz w:val="24"/>
        </w:rPr>
        <w:t xml:space="preserve"> </w:t>
      </w:r>
      <w:r w:rsidR="00F9792E">
        <w:rPr>
          <w:sz w:val="24"/>
        </w:rPr>
        <w:t>січня 2022</w:t>
      </w:r>
      <w:bookmarkStart w:id="0" w:name="_GoBack"/>
      <w:bookmarkEnd w:id="0"/>
      <w:r>
        <w:rPr>
          <w:sz w:val="24"/>
        </w:rPr>
        <w:t xml:space="preserve"> року (протокол № 95</w:t>
      </w:r>
      <w:r w:rsidRPr="008243C8">
        <w:rPr>
          <w:sz w:val="24"/>
        </w:rPr>
        <w:t>) відповідно до статті 93 Регламенту Верховної Ради України.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4D3" w:rsidRDefault="009064D3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4D3" w:rsidRDefault="009064D3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9064D3" w:rsidRPr="00AD7F82" w:rsidTr="00930A4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9064D3" w:rsidRPr="00AD7F82" w:rsidRDefault="009064D3" w:rsidP="009064D3">
          <w:pPr>
            <w:pStyle w:val="a8"/>
            <w:tabs>
              <w:tab w:val="left" w:pos="6549"/>
            </w:tabs>
            <w:rPr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28C9823B" wp14:editId="5595DADD">
                <wp:simplePos x="0" y="0"/>
                <wp:positionH relativeFrom="margin">
                  <wp:posOffset>3700780</wp:posOffset>
                </wp:positionH>
                <wp:positionV relativeFrom="paragraph">
                  <wp:posOffset>19050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9064D3" w:rsidRPr="00AD7F82" w:rsidRDefault="009064D3" w:rsidP="009064D3">
          <w:pPr>
            <w:pStyle w:val="a8"/>
            <w:rPr>
              <w:color w:val="002060"/>
              <w:sz w:val="32"/>
              <w:szCs w:val="32"/>
            </w:rPr>
          </w:pPr>
        </w:p>
        <w:p w:rsidR="009064D3" w:rsidRPr="00AD7F82" w:rsidRDefault="009064D3" w:rsidP="009064D3">
          <w:pPr>
            <w:pStyle w:val="a8"/>
            <w:rPr>
              <w:color w:val="002060"/>
              <w:sz w:val="32"/>
              <w:szCs w:val="32"/>
            </w:rPr>
          </w:pPr>
        </w:p>
        <w:p w:rsidR="009064D3" w:rsidRPr="0021032F" w:rsidRDefault="009064D3" w:rsidP="009064D3">
          <w:pPr>
            <w:pStyle w:val="a8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color w:val="1829A8"/>
              <w:spacing w:val="20"/>
              <w:sz w:val="34"/>
              <w:szCs w:val="34"/>
            </w:rPr>
            <w:t xml:space="preserve">           </w:t>
          </w:r>
          <w:r w:rsidRPr="0021032F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9064D3" w:rsidRPr="00D22048" w:rsidRDefault="009064D3" w:rsidP="009064D3">
          <w:pPr>
            <w:pStyle w:val="a8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 xml:space="preserve">             </w:t>
          </w:r>
          <w:r w:rsidRPr="00C86266">
            <w:rPr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b/>
              <w:color w:val="1829A8"/>
              <w:spacing w:val="20"/>
              <w:sz w:val="24"/>
              <w:szCs w:val="24"/>
            </w:rPr>
            <w:t xml:space="preserve"> інтеграції України до Європейського Союзу</w:t>
          </w:r>
        </w:p>
        <w:p w:rsidR="009064D3" w:rsidRPr="009865D4" w:rsidRDefault="009064D3" w:rsidP="009064D3">
          <w:pPr>
            <w:pStyle w:val="a8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color w:val="1829A8"/>
              <w:sz w:val="20"/>
              <w:szCs w:val="20"/>
            </w:rPr>
            <w:t xml:space="preserve">                 0</w:t>
          </w:r>
          <w:r w:rsidRPr="00A833C8">
            <w:rPr>
              <w:color w:val="1829A8"/>
              <w:sz w:val="20"/>
              <w:szCs w:val="20"/>
            </w:rPr>
            <w:t xml:space="preserve">1008, м.Київ-8, вул. М. Грушевського, 5, </w:t>
          </w:r>
          <w:proofErr w:type="spellStart"/>
          <w:r w:rsidRPr="00A833C8">
            <w:rPr>
              <w:color w:val="1829A8"/>
              <w:sz w:val="20"/>
              <w:szCs w:val="20"/>
            </w:rPr>
            <w:t>тел</w:t>
          </w:r>
          <w:proofErr w:type="spellEnd"/>
          <w:r w:rsidRPr="00A833C8">
            <w:rPr>
              <w:color w:val="1829A8"/>
              <w:sz w:val="20"/>
              <w:szCs w:val="20"/>
            </w:rPr>
            <w:t>.</w:t>
          </w:r>
          <w:r>
            <w:rPr>
              <w:color w:val="1829A8"/>
              <w:sz w:val="20"/>
              <w:szCs w:val="20"/>
            </w:rPr>
            <w:t xml:space="preserve">: </w:t>
          </w:r>
          <w:r w:rsidRPr="00A833C8">
            <w:rPr>
              <w:color w:val="1829A8"/>
              <w:sz w:val="20"/>
              <w:szCs w:val="20"/>
            </w:rPr>
            <w:t>2</w:t>
          </w:r>
          <w:r>
            <w:rPr>
              <w:color w:val="1829A8"/>
              <w:sz w:val="20"/>
              <w:szCs w:val="20"/>
            </w:rPr>
            <w:t>55</w:t>
          </w:r>
          <w:r w:rsidRPr="00A833C8">
            <w:rPr>
              <w:color w:val="1829A8"/>
              <w:sz w:val="20"/>
              <w:szCs w:val="20"/>
            </w:rPr>
            <w:t>-</w:t>
          </w:r>
          <w:r>
            <w:rPr>
              <w:color w:val="1829A8"/>
              <w:sz w:val="20"/>
              <w:szCs w:val="20"/>
            </w:rPr>
            <w:t>34</w:t>
          </w:r>
          <w:r w:rsidRPr="00A833C8">
            <w:rPr>
              <w:color w:val="1829A8"/>
              <w:sz w:val="20"/>
              <w:szCs w:val="20"/>
            </w:rPr>
            <w:t>-</w:t>
          </w:r>
          <w:r>
            <w:rPr>
              <w:color w:val="1829A8"/>
              <w:sz w:val="20"/>
              <w:szCs w:val="20"/>
            </w:rPr>
            <w:t>42, факс</w:t>
          </w:r>
          <w:r w:rsidRPr="004C53C1">
            <w:rPr>
              <w:color w:val="1829A8"/>
              <w:sz w:val="20"/>
              <w:szCs w:val="20"/>
            </w:rPr>
            <w:t>:</w:t>
          </w:r>
          <w:r>
            <w:rPr>
              <w:color w:val="1829A8"/>
              <w:sz w:val="20"/>
              <w:szCs w:val="20"/>
            </w:rPr>
            <w:t xml:space="preserve"> 255-33-13, </w:t>
          </w:r>
          <w:r>
            <w:rPr>
              <w:color w:val="1829A8"/>
              <w:sz w:val="20"/>
              <w:szCs w:val="20"/>
              <w:lang w:val="en-US"/>
            </w:rPr>
            <w:t>e</w:t>
          </w:r>
          <w:r w:rsidRPr="009865D4">
            <w:rPr>
              <w:color w:val="1829A8"/>
              <w:sz w:val="20"/>
              <w:szCs w:val="20"/>
            </w:rPr>
            <w:t>-</w:t>
          </w:r>
          <w:r>
            <w:rPr>
              <w:color w:val="1829A8"/>
              <w:sz w:val="20"/>
              <w:szCs w:val="20"/>
              <w:lang w:val="en-US"/>
            </w:rPr>
            <w:t>mail</w:t>
          </w:r>
          <w:r w:rsidRPr="009865D4">
            <w:rPr>
              <w:color w:val="1829A8"/>
              <w:sz w:val="20"/>
              <w:szCs w:val="20"/>
            </w:rPr>
            <w:t xml:space="preserve">: </w:t>
          </w:r>
          <w:proofErr w:type="spellStart"/>
          <w:r>
            <w:rPr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Pr="009865D4">
            <w:rPr>
              <w:color w:val="1829A8"/>
              <w:sz w:val="20"/>
              <w:szCs w:val="20"/>
            </w:rPr>
            <w:t>@</w:t>
          </w:r>
          <w:r>
            <w:rPr>
              <w:color w:val="1829A8"/>
              <w:sz w:val="20"/>
              <w:szCs w:val="20"/>
              <w:lang w:val="en-US"/>
            </w:rPr>
            <w:t>v</w:t>
          </w:r>
          <w:r w:rsidRPr="009865D4">
            <w:rPr>
              <w:color w:val="1829A8"/>
              <w:sz w:val="20"/>
              <w:szCs w:val="20"/>
            </w:rPr>
            <w:t>.</w:t>
          </w:r>
          <w:proofErr w:type="spellStart"/>
          <w:r>
            <w:rPr>
              <w:color w:val="1829A8"/>
              <w:sz w:val="20"/>
              <w:szCs w:val="20"/>
              <w:lang w:val="en-US"/>
            </w:rPr>
            <w:t>rada</w:t>
          </w:r>
          <w:proofErr w:type="spellEnd"/>
          <w:r w:rsidRPr="009865D4">
            <w:rPr>
              <w:color w:val="1829A8"/>
              <w:sz w:val="20"/>
              <w:szCs w:val="20"/>
            </w:rPr>
            <w:t>.</w:t>
          </w:r>
          <w:proofErr w:type="spellStart"/>
          <w:r>
            <w:rPr>
              <w:color w:val="1829A8"/>
              <w:sz w:val="20"/>
              <w:szCs w:val="20"/>
              <w:lang w:val="en-US"/>
            </w:rPr>
            <w:t>gov</w:t>
          </w:r>
          <w:proofErr w:type="spellEnd"/>
          <w:r w:rsidRPr="009865D4">
            <w:rPr>
              <w:color w:val="1829A8"/>
              <w:sz w:val="20"/>
              <w:szCs w:val="20"/>
            </w:rPr>
            <w:t>.</w:t>
          </w:r>
          <w:proofErr w:type="spellStart"/>
          <w:r>
            <w:rPr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f4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9064D3" w:rsidRPr="00053776" w:rsidTr="00930A4D">
      <w:tc>
        <w:tcPr>
          <w:tcW w:w="1680" w:type="dxa"/>
          <w:tcBorders>
            <w:top w:val="nil"/>
          </w:tcBorders>
        </w:tcPr>
        <w:p w:rsidR="009064D3" w:rsidRPr="00053776" w:rsidRDefault="009064D3" w:rsidP="009064D3">
          <w:pPr>
            <w:pStyle w:val="a8"/>
            <w:rPr>
              <w:color w:val="002060"/>
              <w:lang w:val="uk-UA"/>
            </w:rPr>
          </w:pPr>
        </w:p>
      </w:tc>
      <w:tc>
        <w:tcPr>
          <w:tcW w:w="9639" w:type="dxa"/>
        </w:tcPr>
        <w:p w:rsidR="009064D3" w:rsidRPr="00053776" w:rsidRDefault="009064D3" w:rsidP="009064D3">
          <w:pPr>
            <w:pStyle w:val="a8"/>
            <w:rPr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9064D3" w:rsidRPr="00053776" w:rsidRDefault="009064D3" w:rsidP="009064D3">
          <w:pPr>
            <w:pStyle w:val="a8"/>
            <w:rPr>
              <w:color w:val="002060"/>
              <w:lang w:val="uk-UA"/>
            </w:rPr>
          </w:pPr>
        </w:p>
      </w:tc>
    </w:tr>
  </w:tbl>
  <w:p w:rsidR="009064D3" w:rsidRDefault="009064D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A4C79A7"/>
    <w:multiLevelType w:val="hybridMultilevel"/>
    <w:tmpl w:val="3CB41468"/>
    <w:lvl w:ilvl="0" w:tplc="850207B6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1" w:hanging="360"/>
      </w:pPr>
    </w:lvl>
    <w:lvl w:ilvl="2" w:tplc="0422001B" w:tentative="1">
      <w:start w:val="1"/>
      <w:numFmt w:val="lowerRoman"/>
      <w:lvlText w:val="%3."/>
      <w:lvlJc w:val="right"/>
      <w:pPr>
        <w:ind w:left="1941" w:hanging="180"/>
      </w:pPr>
    </w:lvl>
    <w:lvl w:ilvl="3" w:tplc="0422000F" w:tentative="1">
      <w:start w:val="1"/>
      <w:numFmt w:val="decimal"/>
      <w:lvlText w:val="%4."/>
      <w:lvlJc w:val="left"/>
      <w:pPr>
        <w:ind w:left="2661" w:hanging="360"/>
      </w:pPr>
    </w:lvl>
    <w:lvl w:ilvl="4" w:tplc="04220019" w:tentative="1">
      <w:start w:val="1"/>
      <w:numFmt w:val="lowerLetter"/>
      <w:lvlText w:val="%5."/>
      <w:lvlJc w:val="left"/>
      <w:pPr>
        <w:ind w:left="3381" w:hanging="360"/>
      </w:pPr>
    </w:lvl>
    <w:lvl w:ilvl="5" w:tplc="0422001B" w:tentative="1">
      <w:start w:val="1"/>
      <w:numFmt w:val="lowerRoman"/>
      <w:lvlText w:val="%6."/>
      <w:lvlJc w:val="right"/>
      <w:pPr>
        <w:ind w:left="4101" w:hanging="180"/>
      </w:pPr>
    </w:lvl>
    <w:lvl w:ilvl="6" w:tplc="0422000F" w:tentative="1">
      <w:start w:val="1"/>
      <w:numFmt w:val="decimal"/>
      <w:lvlText w:val="%7."/>
      <w:lvlJc w:val="left"/>
      <w:pPr>
        <w:ind w:left="4821" w:hanging="360"/>
      </w:pPr>
    </w:lvl>
    <w:lvl w:ilvl="7" w:tplc="04220019" w:tentative="1">
      <w:start w:val="1"/>
      <w:numFmt w:val="lowerLetter"/>
      <w:lvlText w:val="%8."/>
      <w:lvlJc w:val="left"/>
      <w:pPr>
        <w:ind w:left="5541" w:hanging="360"/>
      </w:pPr>
    </w:lvl>
    <w:lvl w:ilvl="8" w:tplc="0422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4D5"/>
    <w:rsid w:val="000066F3"/>
    <w:rsid w:val="00044B0B"/>
    <w:rsid w:val="0005797E"/>
    <w:rsid w:val="000715AA"/>
    <w:rsid w:val="000847FD"/>
    <w:rsid w:val="000854AA"/>
    <w:rsid w:val="000904C3"/>
    <w:rsid w:val="00091798"/>
    <w:rsid w:val="000A1FE1"/>
    <w:rsid w:val="000A77DD"/>
    <w:rsid w:val="000C71F2"/>
    <w:rsid w:val="000C7393"/>
    <w:rsid w:val="000D7F00"/>
    <w:rsid w:val="000E3A6C"/>
    <w:rsid w:val="000E69A3"/>
    <w:rsid w:val="00125686"/>
    <w:rsid w:val="00127551"/>
    <w:rsid w:val="001335D5"/>
    <w:rsid w:val="00160E12"/>
    <w:rsid w:val="001672B6"/>
    <w:rsid w:val="00182F01"/>
    <w:rsid w:val="00185DE2"/>
    <w:rsid w:val="001918A8"/>
    <w:rsid w:val="00195BFE"/>
    <w:rsid w:val="001B69AE"/>
    <w:rsid w:val="001D4089"/>
    <w:rsid w:val="001E04E7"/>
    <w:rsid w:val="001F2BBC"/>
    <w:rsid w:val="00216989"/>
    <w:rsid w:val="00241C8C"/>
    <w:rsid w:val="00252055"/>
    <w:rsid w:val="00256276"/>
    <w:rsid w:val="00260BD2"/>
    <w:rsid w:val="002827BA"/>
    <w:rsid w:val="002B5727"/>
    <w:rsid w:val="002C1FEB"/>
    <w:rsid w:val="002D4F11"/>
    <w:rsid w:val="002D6E28"/>
    <w:rsid w:val="003044CE"/>
    <w:rsid w:val="00342767"/>
    <w:rsid w:val="003453B2"/>
    <w:rsid w:val="00381C7C"/>
    <w:rsid w:val="003A50FA"/>
    <w:rsid w:val="003B05E9"/>
    <w:rsid w:val="003C75BE"/>
    <w:rsid w:val="003D4689"/>
    <w:rsid w:val="003D7858"/>
    <w:rsid w:val="0041597F"/>
    <w:rsid w:val="00415BD3"/>
    <w:rsid w:val="00421ACA"/>
    <w:rsid w:val="004349F5"/>
    <w:rsid w:val="00442C35"/>
    <w:rsid w:val="00472864"/>
    <w:rsid w:val="00476387"/>
    <w:rsid w:val="00492E53"/>
    <w:rsid w:val="004932F8"/>
    <w:rsid w:val="004B20DC"/>
    <w:rsid w:val="004D14D5"/>
    <w:rsid w:val="004D731F"/>
    <w:rsid w:val="00500196"/>
    <w:rsid w:val="005102D5"/>
    <w:rsid w:val="005144E5"/>
    <w:rsid w:val="00522D82"/>
    <w:rsid w:val="00525511"/>
    <w:rsid w:val="005331BB"/>
    <w:rsid w:val="00533464"/>
    <w:rsid w:val="005547AC"/>
    <w:rsid w:val="00575009"/>
    <w:rsid w:val="005817E5"/>
    <w:rsid w:val="00585202"/>
    <w:rsid w:val="005900F4"/>
    <w:rsid w:val="00591410"/>
    <w:rsid w:val="00595430"/>
    <w:rsid w:val="00596027"/>
    <w:rsid w:val="005D5608"/>
    <w:rsid w:val="005F09D3"/>
    <w:rsid w:val="00603AC6"/>
    <w:rsid w:val="006103B4"/>
    <w:rsid w:val="006119E0"/>
    <w:rsid w:val="00611D94"/>
    <w:rsid w:val="00626D16"/>
    <w:rsid w:val="00627972"/>
    <w:rsid w:val="0063183D"/>
    <w:rsid w:val="00634627"/>
    <w:rsid w:val="00644CA4"/>
    <w:rsid w:val="006709B7"/>
    <w:rsid w:val="0068323C"/>
    <w:rsid w:val="006B2272"/>
    <w:rsid w:val="006C167A"/>
    <w:rsid w:val="006C4356"/>
    <w:rsid w:val="006C582A"/>
    <w:rsid w:val="006C6323"/>
    <w:rsid w:val="006D47F9"/>
    <w:rsid w:val="006E4D34"/>
    <w:rsid w:val="006E7047"/>
    <w:rsid w:val="007005C4"/>
    <w:rsid w:val="00744D96"/>
    <w:rsid w:val="00747136"/>
    <w:rsid w:val="007535A5"/>
    <w:rsid w:val="00761A89"/>
    <w:rsid w:val="007652AA"/>
    <w:rsid w:val="00765F1C"/>
    <w:rsid w:val="00792896"/>
    <w:rsid w:val="007A436A"/>
    <w:rsid w:val="007C0C6E"/>
    <w:rsid w:val="007D6400"/>
    <w:rsid w:val="0080183E"/>
    <w:rsid w:val="008101F0"/>
    <w:rsid w:val="00825D9E"/>
    <w:rsid w:val="008274BE"/>
    <w:rsid w:val="00841A8F"/>
    <w:rsid w:val="0084294D"/>
    <w:rsid w:val="00870B8B"/>
    <w:rsid w:val="008740B4"/>
    <w:rsid w:val="008A3158"/>
    <w:rsid w:val="008B3D65"/>
    <w:rsid w:val="00904570"/>
    <w:rsid w:val="00905C8D"/>
    <w:rsid w:val="009064D3"/>
    <w:rsid w:val="00950391"/>
    <w:rsid w:val="00952F19"/>
    <w:rsid w:val="0095418F"/>
    <w:rsid w:val="00955CBA"/>
    <w:rsid w:val="00963111"/>
    <w:rsid w:val="00965679"/>
    <w:rsid w:val="0098487B"/>
    <w:rsid w:val="0099197F"/>
    <w:rsid w:val="009963E6"/>
    <w:rsid w:val="009969AA"/>
    <w:rsid w:val="009A433F"/>
    <w:rsid w:val="009D646B"/>
    <w:rsid w:val="009E06C6"/>
    <w:rsid w:val="009E554A"/>
    <w:rsid w:val="009F121E"/>
    <w:rsid w:val="009F1E22"/>
    <w:rsid w:val="009F20A2"/>
    <w:rsid w:val="00A40791"/>
    <w:rsid w:val="00A57A17"/>
    <w:rsid w:val="00A733C9"/>
    <w:rsid w:val="00A92611"/>
    <w:rsid w:val="00A948BE"/>
    <w:rsid w:val="00AA7ABC"/>
    <w:rsid w:val="00AB150C"/>
    <w:rsid w:val="00AC247B"/>
    <w:rsid w:val="00AD155B"/>
    <w:rsid w:val="00AF5C61"/>
    <w:rsid w:val="00B16F6A"/>
    <w:rsid w:val="00B330E2"/>
    <w:rsid w:val="00B45F4A"/>
    <w:rsid w:val="00B50633"/>
    <w:rsid w:val="00B6095F"/>
    <w:rsid w:val="00B830A6"/>
    <w:rsid w:val="00BA5F52"/>
    <w:rsid w:val="00BB5DCA"/>
    <w:rsid w:val="00BC4C67"/>
    <w:rsid w:val="00C00BA4"/>
    <w:rsid w:val="00C37C77"/>
    <w:rsid w:val="00C70297"/>
    <w:rsid w:val="00C711AB"/>
    <w:rsid w:val="00C90D67"/>
    <w:rsid w:val="00CC119A"/>
    <w:rsid w:val="00CC35C7"/>
    <w:rsid w:val="00CC4584"/>
    <w:rsid w:val="00CC54E6"/>
    <w:rsid w:val="00CC5B2F"/>
    <w:rsid w:val="00CE2594"/>
    <w:rsid w:val="00CE2E93"/>
    <w:rsid w:val="00CF1D55"/>
    <w:rsid w:val="00CF36D4"/>
    <w:rsid w:val="00D21799"/>
    <w:rsid w:val="00D23AE4"/>
    <w:rsid w:val="00D27323"/>
    <w:rsid w:val="00D43A13"/>
    <w:rsid w:val="00D7062C"/>
    <w:rsid w:val="00DD1BE6"/>
    <w:rsid w:val="00DD4C0B"/>
    <w:rsid w:val="00DE050F"/>
    <w:rsid w:val="00DE0C2A"/>
    <w:rsid w:val="00DE5D1D"/>
    <w:rsid w:val="00DF36C8"/>
    <w:rsid w:val="00E2079B"/>
    <w:rsid w:val="00E41B0B"/>
    <w:rsid w:val="00E54C14"/>
    <w:rsid w:val="00E71CFC"/>
    <w:rsid w:val="00E810BD"/>
    <w:rsid w:val="00E81E75"/>
    <w:rsid w:val="00E96413"/>
    <w:rsid w:val="00EA6432"/>
    <w:rsid w:val="00EB2DDC"/>
    <w:rsid w:val="00ED032A"/>
    <w:rsid w:val="00ED36F1"/>
    <w:rsid w:val="00ED6601"/>
    <w:rsid w:val="00EE76BF"/>
    <w:rsid w:val="00EF2D25"/>
    <w:rsid w:val="00EF7258"/>
    <w:rsid w:val="00F00960"/>
    <w:rsid w:val="00F12B93"/>
    <w:rsid w:val="00F24147"/>
    <w:rsid w:val="00F2424D"/>
    <w:rsid w:val="00F34ECB"/>
    <w:rsid w:val="00F4594A"/>
    <w:rsid w:val="00F625C0"/>
    <w:rsid w:val="00F63AB1"/>
    <w:rsid w:val="00F82B1F"/>
    <w:rsid w:val="00F83224"/>
    <w:rsid w:val="00F87E4D"/>
    <w:rsid w:val="00F9701F"/>
    <w:rsid w:val="00F9792E"/>
    <w:rsid w:val="00F97E9D"/>
    <w:rsid w:val="00FA2BE6"/>
    <w:rsid w:val="00FB3446"/>
    <w:rsid w:val="00FC07A8"/>
    <w:rsid w:val="00FC0ABA"/>
    <w:rsid w:val="00FF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31480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14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4276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870B8B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0C71F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у1"/>
    <w:basedOn w:val="a"/>
    <w:qFormat/>
    <w:rsid w:val="004D14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footer"/>
    <w:basedOn w:val="a"/>
    <w:link w:val="a4"/>
    <w:rsid w:val="004D14D5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4D14D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2">
    <w:name w:val="rvps2"/>
    <w:basedOn w:val="a"/>
    <w:rsid w:val="004D14D5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5">
    <w:name w:val="footnote reference"/>
    <w:basedOn w:val="a0"/>
    <w:unhideWhenUsed/>
    <w:rsid w:val="004D14D5"/>
    <w:rPr>
      <w:vertAlign w:val="superscript"/>
    </w:rPr>
  </w:style>
  <w:style w:type="paragraph" w:styleId="a6">
    <w:name w:val="footnote text"/>
    <w:basedOn w:val="a"/>
    <w:link w:val="a7"/>
    <w:unhideWhenUsed/>
    <w:rsid w:val="004D14D5"/>
    <w:rPr>
      <w:sz w:val="20"/>
      <w:szCs w:val="20"/>
    </w:rPr>
  </w:style>
  <w:style w:type="character" w:customStyle="1" w:styleId="a7">
    <w:name w:val="Текст виноски Знак"/>
    <w:basedOn w:val="a0"/>
    <w:link w:val="a6"/>
    <w:rsid w:val="004D14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4D14D5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4D14D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4D14D5"/>
    <w:rPr>
      <w:color w:val="0563C1" w:themeColor="hyperlink"/>
      <w:u w:val="single"/>
    </w:rPr>
  </w:style>
  <w:style w:type="character" w:customStyle="1" w:styleId="st">
    <w:name w:val="st"/>
    <w:basedOn w:val="a0"/>
    <w:rsid w:val="00A948BE"/>
  </w:style>
  <w:style w:type="character" w:styleId="ab">
    <w:name w:val="Emphasis"/>
    <w:basedOn w:val="a0"/>
    <w:uiPriority w:val="20"/>
    <w:qFormat/>
    <w:rsid w:val="00A948BE"/>
    <w:rPr>
      <w:i/>
      <w:iCs/>
    </w:rPr>
  </w:style>
  <w:style w:type="paragraph" w:styleId="ac">
    <w:name w:val="List Paragraph"/>
    <w:basedOn w:val="a"/>
    <w:link w:val="ad"/>
    <w:uiPriority w:val="34"/>
    <w:qFormat/>
    <w:rsid w:val="000066F3"/>
    <w:pPr>
      <w:ind w:left="720"/>
      <w:contextualSpacing/>
    </w:pPr>
  </w:style>
  <w:style w:type="character" w:styleId="ae">
    <w:name w:val="Strong"/>
    <w:basedOn w:val="a0"/>
    <w:uiPriority w:val="22"/>
    <w:qFormat/>
    <w:rsid w:val="00A40791"/>
    <w:rPr>
      <w:b/>
      <w:bCs/>
    </w:rPr>
  </w:style>
  <w:style w:type="character" w:customStyle="1" w:styleId="31">
    <w:name w:val="Основной текст (3)_"/>
    <w:basedOn w:val="a0"/>
    <w:link w:val="32"/>
    <w:rsid w:val="00A4079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">
    <w:name w:val="Основной текст (2)_"/>
    <w:basedOn w:val="a0"/>
    <w:rsid w:val="00A407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2">
    <w:name w:val="Основной текст (2)"/>
    <w:basedOn w:val="21"/>
    <w:rsid w:val="00A407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uk-UA" w:eastAsia="uk-UA" w:bidi="uk-UA"/>
    </w:rPr>
  </w:style>
  <w:style w:type="paragraph" w:customStyle="1" w:styleId="32">
    <w:name w:val="Основной текст (3)"/>
    <w:basedOn w:val="a"/>
    <w:link w:val="31"/>
    <w:rsid w:val="00A40791"/>
    <w:pPr>
      <w:widowControl w:val="0"/>
      <w:shd w:val="clear" w:color="auto" w:fill="FFFFFF"/>
      <w:spacing w:line="323" w:lineRule="exact"/>
      <w:jc w:val="both"/>
    </w:pPr>
    <w:rPr>
      <w:b/>
      <w:bCs/>
      <w:sz w:val="26"/>
      <w:szCs w:val="26"/>
      <w:lang w:eastAsia="en-US"/>
    </w:rPr>
  </w:style>
  <w:style w:type="character" w:customStyle="1" w:styleId="rvts23">
    <w:name w:val="rvts23"/>
    <w:basedOn w:val="a0"/>
    <w:rsid w:val="00E96413"/>
  </w:style>
  <w:style w:type="character" w:customStyle="1" w:styleId="20">
    <w:name w:val="Заголовок 2 Знак"/>
    <w:basedOn w:val="a0"/>
    <w:link w:val="2"/>
    <w:uiPriority w:val="9"/>
    <w:rsid w:val="00870B8B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customStyle="1" w:styleId="tc">
    <w:name w:val="tc"/>
    <w:basedOn w:val="a"/>
    <w:rsid w:val="00870B8B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415B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415BD3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0">
    <w:name w:val="rvts0"/>
    <w:basedOn w:val="a0"/>
    <w:rsid w:val="00CC5B2F"/>
  </w:style>
  <w:style w:type="paragraph" w:customStyle="1" w:styleId="af">
    <w:name w:val="Нормальний текст"/>
    <w:basedOn w:val="a"/>
    <w:rsid w:val="00963111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copre">
    <w:name w:val="acopre"/>
    <w:basedOn w:val="a0"/>
    <w:rsid w:val="00E810BD"/>
  </w:style>
  <w:style w:type="character" w:customStyle="1" w:styleId="rvts44">
    <w:name w:val="rvts44"/>
    <w:basedOn w:val="a0"/>
    <w:rsid w:val="00D23AE4"/>
  </w:style>
  <w:style w:type="paragraph" w:customStyle="1" w:styleId="norm">
    <w:name w:val="norm"/>
    <w:basedOn w:val="a"/>
    <w:rsid w:val="00D7062C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f0">
    <w:name w:val="Balloon Text"/>
    <w:basedOn w:val="a"/>
    <w:link w:val="af1"/>
    <w:uiPriority w:val="99"/>
    <w:semiHidden/>
    <w:unhideWhenUsed/>
    <w:rsid w:val="00F12B93"/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F12B9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C71F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af2">
    <w:name w:val="Звичайний (веб) Знак"/>
    <w:link w:val="af3"/>
    <w:locked/>
    <w:rsid w:val="00F9701F"/>
    <w:rPr>
      <w:sz w:val="24"/>
      <w:szCs w:val="24"/>
      <w:lang w:val="ru-RU" w:eastAsia="ru-RU"/>
    </w:rPr>
  </w:style>
  <w:style w:type="paragraph" w:styleId="af3">
    <w:name w:val="Normal (Web)"/>
    <w:basedOn w:val="a"/>
    <w:link w:val="af2"/>
    <w:uiPriority w:val="99"/>
    <w:unhideWhenUsed/>
    <w:rsid w:val="00F9701F"/>
    <w:pPr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34276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rvps7">
    <w:name w:val="rvps7"/>
    <w:basedOn w:val="a"/>
    <w:rsid w:val="00F2424D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F2424D"/>
  </w:style>
  <w:style w:type="character" w:customStyle="1" w:styleId="ad">
    <w:name w:val="Абзац списку Знак"/>
    <w:link w:val="ac"/>
    <w:uiPriority w:val="34"/>
    <w:locked/>
    <w:rsid w:val="00CF36D4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4">
    <w:name w:val="Table Grid"/>
    <w:basedOn w:val="a1"/>
    <w:uiPriority w:val="99"/>
    <w:rsid w:val="009064D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5321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39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9293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5942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9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25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3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5374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282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AB543-00B2-450F-8924-38E0214C9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4651</Words>
  <Characters>2652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2020-03-10T11:06:00Z</dcterms:created>
  <dcterms:modified xsi:type="dcterms:W3CDTF">2022-02-02T13:30:00Z</dcterms:modified>
</cp:coreProperties>
</file>