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0DF" w:rsidRPr="00EE6B15" w:rsidRDefault="002B10DF" w:rsidP="002B10DF">
      <w:pPr>
        <w:spacing w:line="264" w:lineRule="auto"/>
        <w:ind w:firstLine="567"/>
        <w:jc w:val="center"/>
        <w:rPr>
          <w:b/>
        </w:rPr>
      </w:pPr>
      <w:bookmarkStart w:id="0" w:name="_GoBack"/>
      <w:bookmarkEnd w:id="0"/>
      <w:r w:rsidRPr="00EE6B15">
        <w:rPr>
          <w:b/>
        </w:rPr>
        <w:t xml:space="preserve">Пояснювальна Записка </w:t>
      </w:r>
    </w:p>
    <w:p w:rsidR="002B10DF" w:rsidRDefault="002B10DF" w:rsidP="002B10DF">
      <w:pPr>
        <w:spacing w:line="264" w:lineRule="auto"/>
        <w:jc w:val="center"/>
        <w:rPr>
          <w:b/>
          <w:bCs/>
        </w:rPr>
      </w:pPr>
      <w:r w:rsidRPr="00EE6B15">
        <w:rPr>
          <w:b/>
        </w:rPr>
        <w:t>до проекту Закону України «</w:t>
      </w:r>
      <w:r w:rsidR="00EB2BDE" w:rsidRPr="00EB2BDE">
        <w:rPr>
          <w:b/>
          <w:bCs/>
        </w:rPr>
        <w:t>Про внесення змін до Податкового кодексу України щодо стимулювання платників екологічного податку до здійснення природоохоронних заходів та збалансованості бюджетних надходжень</w:t>
      </w:r>
      <w:r w:rsidRPr="00EE6B15">
        <w:rPr>
          <w:b/>
          <w:bCs/>
        </w:rPr>
        <w:t>»</w:t>
      </w:r>
    </w:p>
    <w:p w:rsidR="00ED46E5" w:rsidRPr="00EE6B15" w:rsidRDefault="00ED46E5" w:rsidP="002B10DF">
      <w:pPr>
        <w:spacing w:line="264" w:lineRule="auto"/>
        <w:jc w:val="center"/>
        <w:rPr>
          <w:b/>
          <w:bCs/>
        </w:rPr>
      </w:pPr>
    </w:p>
    <w:p w:rsidR="00EB2BDE" w:rsidRPr="00EB2BDE" w:rsidRDefault="00EB2BDE" w:rsidP="00EB2BDE">
      <w:pPr>
        <w:spacing w:line="264" w:lineRule="auto"/>
        <w:ind w:firstLine="709"/>
        <w:jc w:val="both"/>
        <w:rPr>
          <w:b/>
          <w:bCs/>
          <w:color w:val="000000"/>
        </w:rPr>
      </w:pPr>
      <w:r w:rsidRPr="00EB2BDE">
        <w:rPr>
          <w:b/>
          <w:bCs/>
          <w:color w:val="000000"/>
        </w:rPr>
        <w:t>1.</w:t>
      </w:r>
      <w:r w:rsidRPr="00EB2BDE">
        <w:rPr>
          <w:b/>
          <w:bCs/>
          <w:color w:val="000000"/>
        </w:rPr>
        <w:tab/>
        <w:t>Мета законопроекту</w:t>
      </w:r>
    </w:p>
    <w:p w:rsidR="00EB2BDE" w:rsidRPr="00EB2BDE" w:rsidRDefault="00EB2BDE" w:rsidP="00EB2BDE">
      <w:pPr>
        <w:spacing w:line="264" w:lineRule="auto"/>
        <w:ind w:firstLine="709"/>
        <w:jc w:val="both"/>
        <w:rPr>
          <w:bCs/>
          <w:color w:val="000000"/>
        </w:rPr>
      </w:pPr>
      <w:r w:rsidRPr="00EB2BDE">
        <w:rPr>
          <w:bCs/>
          <w:color w:val="000000"/>
        </w:rPr>
        <w:t>Цей законопроект є альтернативним до Проекту Закону про внесення змін до Податкового кодексу України щодо справляння екологічного  податку при управлінні відходами, реєстраційний номер 6345 від 24.11.2021 р., який передбачає значне підвищення ставок податку за розміщення відходів всіх класів небезпеки, не пояснюючи необхідність підвищення, і, головне – не встановлюючи механізмів для спрямування надходж</w:t>
      </w:r>
      <w:r>
        <w:rPr>
          <w:bCs/>
          <w:color w:val="000000"/>
        </w:rPr>
        <w:t>ень на природоохоронні заходи.</w:t>
      </w:r>
    </w:p>
    <w:p w:rsidR="00EB2BDE" w:rsidRPr="00EB2BDE" w:rsidRDefault="00EB2BDE" w:rsidP="00EB2BDE">
      <w:pPr>
        <w:spacing w:line="264" w:lineRule="auto"/>
        <w:ind w:firstLine="709"/>
        <w:jc w:val="both"/>
        <w:rPr>
          <w:bCs/>
          <w:color w:val="000000"/>
        </w:rPr>
      </w:pPr>
      <w:r w:rsidRPr="00EB2BDE">
        <w:rPr>
          <w:bCs/>
          <w:color w:val="000000"/>
        </w:rPr>
        <w:t>Метою альтернативного законопроекту є індексація на 10% ставок екологічного податку за розміщення відходів, створення умов для заохочення платників екологічного податку до здійснення природоохоронних заходів шляхом застосування коефіцієнту до ставок податку та збалансування бюджетних надходжень від таких змін за рахунок встановлення справедливого та економічно обґрунтованого оподаткування  видобування марганцевих руд.</w:t>
      </w:r>
    </w:p>
    <w:p w:rsidR="00EB2BDE" w:rsidRPr="00EB2BDE" w:rsidRDefault="00EB2BDE" w:rsidP="00EB2BDE">
      <w:pPr>
        <w:spacing w:line="264" w:lineRule="auto"/>
        <w:ind w:firstLine="709"/>
        <w:jc w:val="both"/>
        <w:rPr>
          <w:b/>
          <w:bCs/>
          <w:color w:val="000000"/>
        </w:rPr>
      </w:pPr>
    </w:p>
    <w:p w:rsidR="00EB2BDE" w:rsidRPr="00EB2BDE" w:rsidRDefault="00EB2BDE" w:rsidP="00EB2BDE">
      <w:pPr>
        <w:spacing w:line="264" w:lineRule="auto"/>
        <w:ind w:firstLine="709"/>
        <w:jc w:val="both"/>
        <w:rPr>
          <w:b/>
          <w:bCs/>
          <w:color w:val="000000"/>
        </w:rPr>
      </w:pPr>
      <w:r w:rsidRPr="00EB2BDE">
        <w:rPr>
          <w:b/>
          <w:bCs/>
          <w:color w:val="000000"/>
        </w:rPr>
        <w:t>2.</w:t>
      </w:r>
      <w:r w:rsidRPr="00EB2BDE">
        <w:rPr>
          <w:b/>
          <w:bCs/>
          <w:color w:val="000000"/>
        </w:rPr>
        <w:tab/>
        <w:t>Обґрунтування необхідності прийняття законопроекту</w:t>
      </w:r>
    </w:p>
    <w:p w:rsidR="00EB2BDE" w:rsidRPr="00EB2BDE" w:rsidRDefault="00EB2BDE" w:rsidP="00EB2BDE">
      <w:pPr>
        <w:spacing w:line="264" w:lineRule="auto"/>
        <w:ind w:firstLine="709"/>
        <w:jc w:val="both"/>
        <w:rPr>
          <w:b/>
          <w:bCs/>
          <w:color w:val="000000"/>
        </w:rPr>
      </w:pPr>
    </w:p>
    <w:p w:rsidR="00EB2BDE" w:rsidRPr="00EB2BDE" w:rsidRDefault="00EB2BDE" w:rsidP="00EB2BDE">
      <w:pPr>
        <w:spacing w:line="264" w:lineRule="auto"/>
        <w:ind w:firstLine="709"/>
        <w:jc w:val="both"/>
        <w:rPr>
          <w:bCs/>
          <w:color w:val="000000"/>
        </w:rPr>
      </w:pPr>
      <w:r w:rsidRPr="00EB2BDE">
        <w:rPr>
          <w:bCs/>
          <w:color w:val="000000"/>
        </w:rPr>
        <w:t>Передусім, функція екологічного податку має базуватись на принципі зменшення негативного впливу на оточуюче середовище. Світові тенденції вказують на те, що зараз актуальним є впровадження сучасної моделі екоподатку, в якій акценти зміщуються з оподаткування доходів на оподаткування негативного впливу на довкілля.</w:t>
      </w:r>
    </w:p>
    <w:p w:rsidR="00EB2BDE" w:rsidRPr="00EB2BDE" w:rsidRDefault="00EB2BDE" w:rsidP="00EB2BDE">
      <w:pPr>
        <w:spacing w:line="264" w:lineRule="auto"/>
        <w:ind w:firstLine="709"/>
        <w:jc w:val="both"/>
        <w:rPr>
          <w:bCs/>
          <w:color w:val="000000"/>
        </w:rPr>
      </w:pPr>
      <w:r w:rsidRPr="00EB2BDE">
        <w:rPr>
          <w:bCs/>
          <w:color w:val="000000"/>
        </w:rPr>
        <w:t xml:space="preserve"> В цьому контексті важливою є диференціація ставок податку в залежності від шкоди, яка завдається навколишньому середовищу. Наприклад, більш шкідлива діяльність/споживання повинні оподатковуватись за більшими ставками,  а менш шкідлива діяльність/споживання, відповідно, за меншими ставками. Також важливим є стимулювання природоохоронних заходів, які можуть бути здійснені платником екологічного податку.</w:t>
      </w:r>
    </w:p>
    <w:p w:rsidR="00EB2BDE" w:rsidRPr="00EB2BDE" w:rsidRDefault="00EB2BDE" w:rsidP="00EB2BDE">
      <w:pPr>
        <w:spacing w:line="264" w:lineRule="auto"/>
        <w:ind w:firstLine="709"/>
        <w:jc w:val="both"/>
        <w:rPr>
          <w:bCs/>
          <w:color w:val="000000"/>
        </w:rPr>
      </w:pPr>
      <w:r w:rsidRPr="00EB2BDE">
        <w:rPr>
          <w:bCs/>
          <w:color w:val="000000"/>
        </w:rPr>
        <w:t>Досвід країн ЄС показує, що здійснювати реформу екологічного оподаткування треба комплексно, з огляду на  застосування податкових стимулів, які надаються платникам за їхній внесок у впровадження нових технологій, за здійснення або природоохоронних  заходів, спрямованих на охорону навколишнього природного середовища і раціональне використання ресурсів.</w:t>
      </w:r>
    </w:p>
    <w:p w:rsidR="00EB2BDE" w:rsidRPr="00EB2BDE" w:rsidRDefault="00EB2BDE" w:rsidP="00EB2BDE">
      <w:pPr>
        <w:spacing w:line="264" w:lineRule="auto"/>
        <w:ind w:firstLine="709"/>
        <w:jc w:val="both"/>
        <w:rPr>
          <w:bCs/>
          <w:color w:val="000000"/>
        </w:rPr>
      </w:pPr>
      <w:r w:rsidRPr="00EB2BDE">
        <w:rPr>
          <w:bCs/>
          <w:color w:val="000000"/>
        </w:rPr>
        <w:t xml:space="preserve">Екологічне оподаткування перш за все повинно відповідати головній меті – покращення стану екологічного середовища. У низці країн (Швеції, Данії, Нідерландах) підвищення ставок екологічних податків компенсувалося </w:t>
      </w:r>
      <w:r w:rsidRPr="00EB2BDE">
        <w:rPr>
          <w:bCs/>
          <w:color w:val="000000"/>
        </w:rPr>
        <w:lastRenderedPageBreak/>
        <w:t xml:space="preserve">зменшенням податкового навантаження на інші сфери, та диференціюванням ставок. </w:t>
      </w:r>
    </w:p>
    <w:p w:rsidR="00EB2BDE" w:rsidRPr="00EB2BDE" w:rsidRDefault="00EB2BDE" w:rsidP="00EB2BDE">
      <w:pPr>
        <w:spacing w:line="264" w:lineRule="auto"/>
        <w:ind w:firstLine="709"/>
        <w:jc w:val="both"/>
        <w:rPr>
          <w:bCs/>
          <w:color w:val="000000"/>
        </w:rPr>
      </w:pPr>
      <w:r w:rsidRPr="00EB2BDE">
        <w:rPr>
          <w:bCs/>
          <w:color w:val="000000"/>
        </w:rPr>
        <w:t xml:space="preserve">Вказане підтверджується даними з 20-тої Глобальної конференції з екологічного оподаткування GCET20 (Електронний доступ: «http://www.gcet20.com»). </w:t>
      </w:r>
    </w:p>
    <w:p w:rsidR="00EB2BDE" w:rsidRPr="00EB2BDE" w:rsidRDefault="00EB2BDE" w:rsidP="00EB2BDE">
      <w:pPr>
        <w:spacing w:line="264" w:lineRule="auto"/>
        <w:ind w:firstLine="709"/>
        <w:jc w:val="both"/>
        <w:rPr>
          <w:bCs/>
          <w:color w:val="000000"/>
        </w:rPr>
      </w:pPr>
      <w:r w:rsidRPr="00EB2BDE">
        <w:rPr>
          <w:bCs/>
          <w:color w:val="000000"/>
        </w:rPr>
        <w:t>Для збалансування бюджетних надходжень, на які вплинуть запропоновані зміни, пропонується встановити справедливе та економічно обґрунтоване оподаткування видобування марганцевої руди.  Це було одним з питань, щодо якого було досягнуто консенсусу під час розгляду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(реєстраційний номер 5600 від  02.</w:t>
      </w:r>
      <w:r>
        <w:rPr>
          <w:bCs/>
          <w:color w:val="000000"/>
        </w:rPr>
        <w:t>06.2021). Має бути встановлений</w:t>
      </w:r>
      <w:r w:rsidRPr="00EB2BDE">
        <w:rPr>
          <w:bCs/>
          <w:color w:val="000000"/>
        </w:rPr>
        <w:t xml:space="preserve"> однаковий підхід до видобування руд з досить високою дохідністю. Рента за видобування марганцевих руд має розраховуватись від світових цін. Однак, під час розгляду законопроекту 5600 в другому читанні в залі парламенту ця норма випадково не була підтримана. Отже метою цього законопроекту є її закріплення в Податковому кодексі України, що збільшить надходження до державного бюджету України з належних джерел, підвищення оподаткування яких є економічно обґрунтованим.</w:t>
      </w:r>
    </w:p>
    <w:p w:rsidR="00EB2BDE" w:rsidRPr="00EB2BDE" w:rsidRDefault="00EB2BDE" w:rsidP="00EB2BDE">
      <w:pPr>
        <w:spacing w:line="264" w:lineRule="auto"/>
        <w:ind w:firstLine="709"/>
        <w:jc w:val="both"/>
        <w:rPr>
          <w:b/>
          <w:bCs/>
          <w:color w:val="000000"/>
        </w:rPr>
      </w:pPr>
    </w:p>
    <w:p w:rsidR="00EB2BDE" w:rsidRPr="00EB2BDE" w:rsidRDefault="00EB2BDE" w:rsidP="00EB2BDE">
      <w:pPr>
        <w:spacing w:line="264" w:lineRule="auto"/>
        <w:ind w:firstLine="709"/>
        <w:jc w:val="both"/>
        <w:rPr>
          <w:b/>
          <w:bCs/>
          <w:color w:val="000000"/>
        </w:rPr>
      </w:pPr>
      <w:r w:rsidRPr="00EB2BDE">
        <w:rPr>
          <w:b/>
          <w:bCs/>
          <w:color w:val="000000"/>
        </w:rPr>
        <w:t>3.</w:t>
      </w:r>
      <w:r w:rsidRPr="00EB2BDE">
        <w:rPr>
          <w:b/>
          <w:bCs/>
          <w:color w:val="000000"/>
        </w:rPr>
        <w:tab/>
        <w:t xml:space="preserve">Основні положення законопроекту  </w:t>
      </w:r>
    </w:p>
    <w:p w:rsidR="00EB2BDE" w:rsidRPr="00EB2BDE" w:rsidRDefault="00EB2BDE" w:rsidP="00EB2BDE">
      <w:pPr>
        <w:spacing w:line="264" w:lineRule="auto"/>
        <w:ind w:firstLine="709"/>
        <w:jc w:val="both"/>
        <w:rPr>
          <w:b/>
          <w:bCs/>
          <w:color w:val="000000"/>
        </w:rPr>
      </w:pPr>
    </w:p>
    <w:p w:rsidR="00EB2BDE" w:rsidRPr="00EB2BDE" w:rsidRDefault="00EB2BDE" w:rsidP="00EB2BDE">
      <w:pPr>
        <w:spacing w:line="264" w:lineRule="auto"/>
        <w:ind w:firstLine="709"/>
        <w:jc w:val="both"/>
        <w:rPr>
          <w:bCs/>
          <w:color w:val="000000"/>
        </w:rPr>
      </w:pPr>
      <w:r w:rsidRPr="00EB2BDE">
        <w:rPr>
          <w:bCs/>
          <w:color w:val="000000"/>
        </w:rPr>
        <w:t>Проект пропонує:</w:t>
      </w:r>
    </w:p>
    <w:p w:rsidR="00EB2BDE" w:rsidRPr="00EB2BDE" w:rsidRDefault="00EB2BDE" w:rsidP="00EB2BDE">
      <w:pPr>
        <w:spacing w:line="264" w:lineRule="auto"/>
        <w:ind w:firstLine="709"/>
        <w:jc w:val="both"/>
        <w:rPr>
          <w:bCs/>
          <w:color w:val="000000"/>
        </w:rPr>
      </w:pPr>
      <w:r w:rsidRPr="00EB2BDE">
        <w:rPr>
          <w:bCs/>
          <w:color w:val="000000"/>
        </w:rPr>
        <w:t>-</w:t>
      </w:r>
      <w:r w:rsidRPr="00EB2BDE">
        <w:rPr>
          <w:bCs/>
          <w:color w:val="000000"/>
        </w:rPr>
        <w:tab/>
        <w:t>ставки податку за розміщення відходів пропонується підвищити на 10%, оскільки саме по собі підвищення ставок, без механізмів заохочення або стимулювання до природоохоронних дій, не призведе до зменшення навантаження на навколишнє природнє середовище;</w:t>
      </w:r>
    </w:p>
    <w:p w:rsidR="00EB2BDE" w:rsidRPr="00EB2BDE" w:rsidRDefault="00EB2BDE" w:rsidP="00EB2BDE">
      <w:pPr>
        <w:spacing w:line="264" w:lineRule="auto"/>
        <w:ind w:firstLine="709"/>
        <w:jc w:val="both"/>
        <w:rPr>
          <w:bCs/>
          <w:color w:val="000000"/>
        </w:rPr>
      </w:pPr>
      <w:r w:rsidRPr="00EB2BDE">
        <w:rPr>
          <w:bCs/>
          <w:color w:val="000000"/>
        </w:rPr>
        <w:t>-</w:t>
      </w:r>
      <w:r w:rsidRPr="00EB2BDE">
        <w:rPr>
          <w:bCs/>
          <w:color w:val="000000"/>
        </w:rPr>
        <w:tab/>
        <w:t>шляхом встановлення можливості застосування коефіцієнту 0,5 до ставок екологічного податку стимулювати здійснення природоохоронних заходів, які передбачені чинним законодавством України або дозвільним документом на здійснення операцій у сфері поводження з відходами та спрямованих на один з таких напрямів: охорона і раціональне використання водних ресурсів; охорона атмосферного повітря; охорона і раціональне використання земель; охорону і раціональне використання мінеральних ресурсів; охорона і раціональне використання природних рослинних ресурсів; охорона і раціональне використання ресурсів тваринного світу; збереження природно-заповідного фонду; раціональне використання і зберігання відходів виробництва і побутових відходів;</w:t>
      </w:r>
    </w:p>
    <w:p w:rsidR="00EB2BDE" w:rsidRPr="00EB2BDE" w:rsidRDefault="00EB2BDE" w:rsidP="00EB2BDE">
      <w:pPr>
        <w:spacing w:line="264" w:lineRule="auto"/>
        <w:ind w:firstLine="709"/>
        <w:jc w:val="both"/>
        <w:rPr>
          <w:bCs/>
          <w:color w:val="000000"/>
        </w:rPr>
      </w:pPr>
      <w:r w:rsidRPr="00EB2BDE">
        <w:rPr>
          <w:bCs/>
          <w:color w:val="000000"/>
        </w:rPr>
        <w:t>-</w:t>
      </w:r>
      <w:r w:rsidRPr="00EB2BDE">
        <w:rPr>
          <w:bCs/>
          <w:color w:val="000000"/>
        </w:rPr>
        <w:tab/>
        <w:t xml:space="preserve">для руд марганцевих встановлюється новий порядок розрахунку рентної плати за користування надрами для видобування корисних копалин:  ставка за шкалою в залежності від ціни на руду марганцю  за індексом світового інформаційного агентства CRU Group– від 3,5% до 10%; ставка застосовується </w:t>
      </w:r>
      <w:r w:rsidRPr="00EB2BDE">
        <w:rPr>
          <w:bCs/>
          <w:color w:val="000000"/>
        </w:rPr>
        <w:lastRenderedPageBreak/>
        <w:t>до фактичної ціни – до ціни. Встновленої на маргенцеву руду світовим інформаційним агентством CRU Group.</w:t>
      </w:r>
    </w:p>
    <w:p w:rsidR="00EB2BDE" w:rsidRPr="00EB2BDE" w:rsidRDefault="00EB2BDE" w:rsidP="00EB2BDE">
      <w:pPr>
        <w:spacing w:line="264" w:lineRule="auto"/>
        <w:ind w:firstLine="709"/>
        <w:jc w:val="both"/>
        <w:rPr>
          <w:b/>
          <w:bCs/>
          <w:color w:val="000000"/>
        </w:rPr>
      </w:pPr>
    </w:p>
    <w:p w:rsidR="00EB2BDE" w:rsidRPr="00EB2BDE" w:rsidRDefault="00EB2BDE" w:rsidP="00EB2BDE">
      <w:pPr>
        <w:spacing w:line="264" w:lineRule="auto"/>
        <w:ind w:firstLine="709"/>
        <w:jc w:val="both"/>
        <w:rPr>
          <w:b/>
          <w:bCs/>
          <w:color w:val="000000"/>
        </w:rPr>
      </w:pPr>
      <w:r w:rsidRPr="00EB2BDE">
        <w:rPr>
          <w:b/>
          <w:bCs/>
          <w:color w:val="000000"/>
        </w:rPr>
        <w:t xml:space="preserve">4. Правові аспекти </w:t>
      </w:r>
    </w:p>
    <w:p w:rsidR="00EB2BDE" w:rsidRPr="00EB2BDE" w:rsidRDefault="00EB2BDE" w:rsidP="00EB2BDE">
      <w:pPr>
        <w:spacing w:line="264" w:lineRule="auto"/>
        <w:ind w:firstLine="709"/>
        <w:jc w:val="both"/>
        <w:rPr>
          <w:bCs/>
          <w:color w:val="000000"/>
        </w:rPr>
      </w:pPr>
      <w:r w:rsidRPr="00EB2BDE">
        <w:rPr>
          <w:bCs/>
          <w:color w:val="000000"/>
        </w:rPr>
        <w:t xml:space="preserve">Ця  сфера відносин регулюється Податковим кодексом України. </w:t>
      </w:r>
    </w:p>
    <w:p w:rsidR="00EB2BDE" w:rsidRPr="00EB2BDE" w:rsidRDefault="00EB2BDE" w:rsidP="00EB2BDE">
      <w:pPr>
        <w:spacing w:line="264" w:lineRule="auto"/>
        <w:ind w:firstLine="709"/>
        <w:jc w:val="both"/>
        <w:rPr>
          <w:b/>
          <w:bCs/>
          <w:color w:val="000000"/>
        </w:rPr>
      </w:pPr>
    </w:p>
    <w:p w:rsidR="00EB2BDE" w:rsidRPr="00EB2BDE" w:rsidRDefault="00EB2BDE" w:rsidP="00EB2BDE">
      <w:pPr>
        <w:spacing w:line="264" w:lineRule="auto"/>
        <w:ind w:firstLine="709"/>
        <w:jc w:val="both"/>
        <w:rPr>
          <w:b/>
          <w:bCs/>
          <w:color w:val="000000"/>
        </w:rPr>
      </w:pPr>
      <w:r w:rsidRPr="00EB2BDE">
        <w:rPr>
          <w:b/>
          <w:bCs/>
          <w:color w:val="000000"/>
        </w:rPr>
        <w:t xml:space="preserve">       5. Фінансово-економічне обґрунтування</w:t>
      </w:r>
    </w:p>
    <w:p w:rsidR="00EB2BDE" w:rsidRPr="00EB2BDE" w:rsidRDefault="00EB2BDE" w:rsidP="00EB2BDE">
      <w:pPr>
        <w:spacing w:line="264" w:lineRule="auto"/>
        <w:ind w:firstLine="709"/>
        <w:jc w:val="both"/>
        <w:rPr>
          <w:bCs/>
          <w:color w:val="000000"/>
        </w:rPr>
      </w:pPr>
      <w:r w:rsidRPr="00EB2BDE">
        <w:rPr>
          <w:bCs/>
          <w:color w:val="000000"/>
        </w:rPr>
        <w:t xml:space="preserve">Реалізація положень цього проекту Закону може збільшити надходження  до Державного бюджету України на 600 мільйонів гривень на рік (за рахунок збільшення находжень від рентної плати). </w:t>
      </w:r>
    </w:p>
    <w:p w:rsidR="00EB2BDE" w:rsidRPr="00EB2BDE" w:rsidRDefault="00EB2BDE" w:rsidP="00EB2BDE">
      <w:pPr>
        <w:spacing w:line="264" w:lineRule="auto"/>
        <w:ind w:firstLine="709"/>
        <w:jc w:val="both"/>
        <w:rPr>
          <w:bCs/>
          <w:color w:val="000000"/>
        </w:rPr>
      </w:pPr>
      <w:r w:rsidRPr="00EB2BDE">
        <w:rPr>
          <w:bCs/>
          <w:color w:val="000000"/>
        </w:rPr>
        <w:t>Прийняття та реалізація положень законопроекту не потребує витрат з Державного бюджету України.</w:t>
      </w:r>
    </w:p>
    <w:p w:rsidR="00EB2BDE" w:rsidRPr="00EB2BDE" w:rsidRDefault="00EB2BDE" w:rsidP="00EB2BDE">
      <w:pPr>
        <w:spacing w:line="264" w:lineRule="auto"/>
        <w:ind w:firstLine="709"/>
        <w:jc w:val="both"/>
        <w:rPr>
          <w:b/>
          <w:bCs/>
          <w:color w:val="000000"/>
        </w:rPr>
      </w:pPr>
    </w:p>
    <w:p w:rsidR="00EB2BDE" w:rsidRPr="00EB2BDE" w:rsidRDefault="00EB2BDE" w:rsidP="00EB2BDE">
      <w:pPr>
        <w:spacing w:line="264" w:lineRule="auto"/>
        <w:ind w:firstLine="709"/>
        <w:jc w:val="both"/>
        <w:rPr>
          <w:b/>
          <w:bCs/>
          <w:color w:val="000000"/>
        </w:rPr>
      </w:pPr>
      <w:r w:rsidRPr="00EB2BDE">
        <w:rPr>
          <w:b/>
          <w:bCs/>
          <w:color w:val="000000"/>
        </w:rPr>
        <w:t xml:space="preserve">        6. Позиція заінтересованих сторін</w:t>
      </w:r>
    </w:p>
    <w:p w:rsidR="00EB2BDE" w:rsidRPr="00EB2BDE" w:rsidRDefault="00EB2BDE" w:rsidP="00EB2BDE">
      <w:pPr>
        <w:spacing w:line="264" w:lineRule="auto"/>
        <w:ind w:firstLine="709"/>
        <w:jc w:val="both"/>
        <w:rPr>
          <w:bCs/>
          <w:color w:val="000000"/>
        </w:rPr>
      </w:pPr>
      <w:r w:rsidRPr="00EB2BDE">
        <w:rPr>
          <w:bCs/>
          <w:color w:val="000000"/>
        </w:rPr>
        <w:t>Законопроект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w:t>
      </w:r>
    </w:p>
    <w:p w:rsidR="00EB2BDE" w:rsidRPr="00EB2BDE" w:rsidRDefault="00EB2BDE" w:rsidP="00EB2BDE">
      <w:pPr>
        <w:spacing w:line="264" w:lineRule="auto"/>
        <w:ind w:firstLine="709"/>
        <w:jc w:val="both"/>
        <w:rPr>
          <w:bCs/>
          <w:color w:val="000000"/>
        </w:rPr>
      </w:pPr>
      <w:r w:rsidRPr="00EB2BDE">
        <w:rPr>
          <w:bCs/>
          <w:color w:val="000000"/>
        </w:rPr>
        <w:t>Проект не стосується сфери наукової та науково-технічної діяльності.</w:t>
      </w:r>
    </w:p>
    <w:p w:rsidR="00EB2BDE" w:rsidRPr="00EB2BDE" w:rsidRDefault="00EB2BDE" w:rsidP="00EB2BDE">
      <w:pPr>
        <w:spacing w:line="264" w:lineRule="auto"/>
        <w:ind w:firstLine="709"/>
        <w:jc w:val="both"/>
        <w:rPr>
          <w:b/>
          <w:bCs/>
          <w:color w:val="000000"/>
        </w:rPr>
      </w:pPr>
    </w:p>
    <w:p w:rsidR="00EB2BDE" w:rsidRPr="00EB2BDE" w:rsidRDefault="00EB2BDE" w:rsidP="00EB2BDE">
      <w:pPr>
        <w:spacing w:line="264" w:lineRule="auto"/>
        <w:ind w:firstLine="709"/>
        <w:jc w:val="both"/>
        <w:rPr>
          <w:b/>
          <w:bCs/>
          <w:color w:val="000000"/>
        </w:rPr>
      </w:pPr>
      <w:r w:rsidRPr="00EB2BDE">
        <w:rPr>
          <w:b/>
          <w:bCs/>
          <w:color w:val="000000"/>
        </w:rPr>
        <w:t>7. Оцінка відповідності</w:t>
      </w:r>
    </w:p>
    <w:p w:rsidR="00EB2BDE" w:rsidRPr="00EB2BDE" w:rsidRDefault="00EB2BDE" w:rsidP="00EB2BDE">
      <w:pPr>
        <w:spacing w:line="264" w:lineRule="auto"/>
        <w:ind w:firstLine="709"/>
        <w:jc w:val="both"/>
        <w:rPr>
          <w:bCs/>
          <w:color w:val="000000"/>
        </w:rPr>
      </w:pPr>
      <w:r w:rsidRPr="00EB2BDE">
        <w:rPr>
          <w:bCs/>
          <w:color w:val="000000"/>
        </w:rPr>
        <w:t>У законопроекті відсутні положення, що стосуються зобов’язань України у сфері європейської інтеграції; стосуються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створюють підстави для дискримінації.</w:t>
      </w:r>
    </w:p>
    <w:p w:rsidR="00EB2BDE" w:rsidRPr="00EB2BDE" w:rsidRDefault="00EB2BDE" w:rsidP="00EB2BDE">
      <w:pPr>
        <w:spacing w:line="264" w:lineRule="auto"/>
        <w:ind w:firstLine="709"/>
        <w:jc w:val="both"/>
        <w:rPr>
          <w:b/>
          <w:bCs/>
          <w:color w:val="000000"/>
        </w:rPr>
      </w:pPr>
    </w:p>
    <w:p w:rsidR="00EB2BDE" w:rsidRPr="00EB2BDE" w:rsidRDefault="00EB2BDE" w:rsidP="00EB2BDE">
      <w:pPr>
        <w:spacing w:line="264" w:lineRule="auto"/>
        <w:ind w:firstLine="709"/>
        <w:jc w:val="both"/>
        <w:rPr>
          <w:b/>
          <w:bCs/>
          <w:color w:val="000000"/>
        </w:rPr>
      </w:pPr>
      <w:r w:rsidRPr="00EB2BDE">
        <w:rPr>
          <w:b/>
          <w:bCs/>
          <w:color w:val="000000"/>
        </w:rPr>
        <w:t>8. Прогноз результатів</w:t>
      </w:r>
    </w:p>
    <w:p w:rsidR="002B10DF" w:rsidRPr="00EB2BDE" w:rsidRDefault="00EB2BDE" w:rsidP="00EB2BDE">
      <w:pPr>
        <w:spacing w:line="264" w:lineRule="auto"/>
        <w:ind w:firstLine="709"/>
        <w:jc w:val="both"/>
      </w:pPr>
      <w:r w:rsidRPr="00EB2BDE">
        <w:rPr>
          <w:bCs/>
          <w:color w:val="000000"/>
        </w:rPr>
        <w:t>Прийняття цього законопроекту забезпечити умови для здійснення природоохоронних заходів в сфері поводження з відходами, що зменшить негативний вплив на довкілля, а також збалансує бюджетні надходження за рахунок додаткових платежів до державного бюджету від платників ренти за видобування марганцевої руди.</w:t>
      </w:r>
    </w:p>
    <w:p w:rsidR="002B10DF" w:rsidRPr="00CA7CC9" w:rsidRDefault="002B10DF" w:rsidP="002B10DF"/>
    <w:p w:rsidR="002B10DF" w:rsidRPr="002B10DF" w:rsidRDefault="002B10DF" w:rsidP="002B10DF">
      <w:pPr>
        <w:spacing w:line="264" w:lineRule="auto"/>
        <w:jc w:val="both"/>
      </w:pPr>
    </w:p>
    <w:p w:rsidR="002B10DF" w:rsidRPr="002B10DF" w:rsidRDefault="002B10DF" w:rsidP="002B10DF">
      <w:pPr>
        <w:spacing w:line="264" w:lineRule="auto"/>
        <w:jc w:val="both"/>
      </w:pPr>
    </w:p>
    <w:p w:rsidR="00AF6012" w:rsidRPr="002B10DF" w:rsidRDefault="00EB2BDE" w:rsidP="002B10DF">
      <w:pPr>
        <w:spacing w:line="264" w:lineRule="auto"/>
        <w:jc w:val="both"/>
        <w:rPr>
          <w:b/>
        </w:rPr>
      </w:pPr>
      <w:r>
        <w:rPr>
          <w:b/>
        </w:rPr>
        <w:t>н</w:t>
      </w:r>
      <w:r w:rsidR="002B10DF" w:rsidRPr="009F4C95">
        <w:rPr>
          <w:b/>
        </w:rPr>
        <w:t>ародн</w:t>
      </w:r>
      <w:r w:rsidR="0039262A">
        <w:rPr>
          <w:b/>
        </w:rPr>
        <w:t>і</w:t>
      </w:r>
      <w:r w:rsidR="002B10DF" w:rsidRPr="009F4C95">
        <w:rPr>
          <w:b/>
        </w:rPr>
        <w:t xml:space="preserve"> депутат</w:t>
      </w:r>
      <w:r w:rsidR="0039262A">
        <w:rPr>
          <w:b/>
        </w:rPr>
        <w:t>и</w:t>
      </w:r>
      <w:r w:rsidR="002B10DF" w:rsidRPr="009F4C95">
        <w:rPr>
          <w:b/>
        </w:rPr>
        <w:t xml:space="preserve"> України</w:t>
      </w:r>
      <w:r w:rsidR="0039262A">
        <w:rPr>
          <w:b/>
        </w:rPr>
        <w:tab/>
      </w:r>
      <w:r w:rsidR="0039262A">
        <w:rPr>
          <w:b/>
        </w:rPr>
        <w:tab/>
      </w:r>
      <w:r w:rsidR="0039262A">
        <w:rPr>
          <w:b/>
        </w:rPr>
        <w:tab/>
      </w:r>
      <w:r w:rsidR="0039262A">
        <w:rPr>
          <w:b/>
        </w:rPr>
        <w:tab/>
        <w:t xml:space="preserve">      </w:t>
      </w:r>
      <w:r w:rsidR="002B10DF">
        <w:rPr>
          <w:b/>
        </w:rPr>
        <w:t>Олексій К</w:t>
      </w:r>
      <w:r w:rsidR="00582596">
        <w:rPr>
          <w:b/>
        </w:rPr>
        <w:t>ОВАЛЬОВ</w:t>
      </w:r>
      <w:r w:rsidR="0039262A">
        <w:rPr>
          <w:b/>
        </w:rPr>
        <w:t xml:space="preserve"> та інші</w:t>
      </w:r>
    </w:p>
    <w:sectPr w:rsidR="00AF6012" w:rsidRPr="002B10DF" w:rsidSect="000F71D9">
      <w:headerReference w:type="even" r:id="rId10"/>
      <w:headerReference w:type="default" r:id="rId11"/>
      <w:pgSz w:w="11906" w:h="16838"/>
      <w:pgMar w:top="851" w:right="851" w:bottom="851"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591" w:rsidRDefault="00050591">
      <w:r>
        <w:separator/>
      </w:r>
    </w:p>
  </w:endnote>
  <w:endnote w:type="continuationSeparator" w:id="0">
    <w:p w:rsidR="00050591" w:rsidRDefault="00050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591" w:rsidRDefault="00050591">
      <w:r>
        <w:separator/>
      </w:r>
    </w:p>
  </w:footnote>
  <w:footnote w:type="continuationSeparator" w:id="0">
    <w:p w:rsidR="00050591" w:rsidRDefault="000505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EE5" w:rsidRDefault="00661EE5" w:rsidP="00661EE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61EE5" w:rsidRDefault="00661EE5">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EE5" w:rsidRDefault="00661EE5" w:rsidP="00661EE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E3010F">
      <w:rPr>
        <w:rStyle w:val="a7"/>
        <w:noProof/>
      </w:rPr>
      <w:t>2</w:t>
    </w:r>
    <w:r>
      <w:rPr>
        <w:rStyle w:val="a7"/>
      </w:rPr>
      <w:fldChar w:fldCharType="end"/>
    </w:r>
  </w:p>
  <w:p w:rsidR="00661EE5" w:rsidRDefault="00661EE5" w:rsidP="005F79BF">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946AB"/>
    <w:multiLevelType w:val="hybridMultilevel"/>
    <w:tmpl w:val="B680011C"/>
    <w:lvl w:ilvl="0" w:tplc="C166190E">
      <w:start w:val="1"/>
      <w:numFmt w:val="bullet"/>
      <w:lvlText w:val="-"/>
      <w:lvlJc w:val="left"/>
      <w:pPr>
        <w:ind w:left="786" w:hanging="360"/>
      </w:pPr>
      <w:rPr>
        <w:rFonts w:ascii="Times New Roman" w:eastAsia="Times New Roman" w:hAnsi="Times New Roman" w:hint="default"/>
      </w:rPr>
    </w:lvl>
    <w:lvl w:ilvl="1" w:tplc="04190003">
      <w:start w:val="1"/>
      <w:numFmt w:val="bullet"/>
      <w:lvlText w:val="o"/>
      <w:lvlJc w:val="left"/>
      <w:pPr>
        <w:ind w:left="1506" w:hanging="360"/>
      </w:pPr>
      <w:rPr>
        <w:rFonts w:ascii="Courier New" w:hAnsi="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hint="default"/>
      </w:rPr>
    </w:lvl>
    <w:lvl w:ilvl="8" w:tplc="04190005">
      <w:start w:val="1"/>
      <w:numFmt w:val="bullet"/>
      <w:lvlText w:val=""/>
      <w:lvlJc w:val="left"/>
      <w:pPr>
        <w:ind w:left="6546" w:hanging="360"/>
      </w:pPr>
      <w:rPr>
        <w:rFonts w:ascii="Wingdings" w:hAnsi="Wingdings" w:hint="default"/>
      </w:rPr>
    </w:lvl>
  </w:abstractNum>
  <w:abstractNum w:abstractNumId="1" w15:restartNumberingAfterBreak="0">
    <w:nsid w:val="06227666"/>
    <w:multiLevelType w:val="hybridMultilevel"/>
    <w:tmpl w:val="E72AC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E7B5E"/>
    <w:multiLevelType w:val="hybridMultilevel"/>
    <w:tmpl w:val="AF526FF2"/>
    <w:lvl w:ilvl="0" w:tplc="486E2ACE">
      <w:start w:val="1"/>
      <w:numFmt w:val="decimal"/>
      <w:lvlText w:val="%1)"/>
      <w:lvlJc w:val="left"/>
      <w:pPr>
        <w:ind w:left="899" w:hanging="360"/>
      </w:pPr>
      <w:rPr>
        <w:rFonts w:cs="Times New Roman" w:hint="default"/>
      </w:rPr>
    </w:lvl>
    <w:lvl w:ilvl="1" w:tplc="04190019">
      <w:start w:val="1"/>
      <w:numFmt w:val="lowerLetter"/>
      <w:lvlText w:val="%2."/>
      <w:lvlJc w:val="left"/>
      <w:pPr>
        <w:ind w:left="1619" w:hanging="360"/>
      </w:pPr>
      <w:rPr>
        <w:rFonts w:cs="Times New Roman"/>
      </w:rPr>
    </w:lvl>
    <w:lvl w:ilvl="2" w:tplc="0419001B">
      <w:start w:val="1"/>
      <w:numFmt w:val="lowerRoman"/>
      <w:lvlText w:val="%3."/>
      <w:lvlJc w:val="right"/>
      <w:pPr>
        <w:ind w:left="2339" w:hanging="180"/>
      </w:pPr>
      <w:rPr>
        <w:rFonts w:cs="Times New Roman"/>
      </w:rPr>
    </w:lvl>
    <w:lvl w:ilvl="3" w:tplc="0419000F">
      <w:start w:val="1"/>
      <w:numFmt w:val="decimal"/>
      <w:lvlText w:val="%4."/>
      <w:lvlJc w:val="left"/>
      <w:pPr>
        <w:ind w:left="3059" w:hanging="360"/>
      </w:pPr>
      <w:rPr>
        <w:rFonts w:cs="Times New Roman"/>
      </w:rPr>
    </w:lvl>
    <w:lvl w:ilvl="4" w:tplc="04190019">
      <w:start w:val="1"/>
      <w:numFmt w:val="lowerLetter"/>
      <w:lvlText w:val="%5."/>
      <w:lvlJc w:val="left"/>
      <w:pPr>
        <w:ind w:left="3779" w:hanging="360"/>
      </w:pPr>
      <w:rPr>
        <w:rFonts w:cs="Times New Roman"/>
      </w:rPr>
    </w:lvl>
    <w:lvl w:ilvl="5" w:tplc="0419001B">
      <w:start w:val="1"/>
      <w:numFmt w:val="lowerRoman"/>
      <w:lvlText w:val="%6."/>
      <w:lvlJc w:val="right"/>
      <w:pPr>
        <w:ind w:left="4499" w:hanging="180"/>
      </w:pPr>
      <w:rPr>
        <w:rFonts w:cs="Times New Roman"/>
      </w:rPr>
    </w:lvl>
    <w:lvl w:ilvl="6" w:tplc="0419000F">
      <w:start w:val="1"/>
      <w:numFmt w:val="decimal"/>
      <w:lvlText w:val="%7."/>
      <w:lvlJc w:val="left"/>
      <w:pPr>
        <w:ind w:left="5219" w:hanging="360"/>
      </w:pPr>
      <w:rPr>
        <w:rFonts w:cs="Times New Roman"/>
      </w:rPr>
    </w:lvl>
    <w:lvl w:ilvl="7" w:tplc="04190019">
      <w:start w:val="1"/>
      <w:numFmt w:val="lowerLetter"/>
      <w:lvlText w:val="%8."/>
      <w:lvlJc w:val="left"/>
      <w:pPr>
        <w:ind w:left="5939" w:hanging="360"/>
      </w:pPr>
      <w:rPr>
        <w:rFonts w:cs="Times New Roman"/>
      </w:rPr>
    </w:lvl>
    <w:lvl w:ilvl="8" w:tplc="0419001B">
      <w:start w:val="1"/>
      <w:numFmt w:val="lowerRoman"/>
      <w:lvlText w:val="%9."/>
      <w:lvlJc w:val="right"/>
      <w:pPr>
        <w:ind w:left="6659" w:hanging="180"/>
      </w:pPr>
      <w:rPr>
        <w:rFonts w:cs="Times New Roman"/>
      </w:rPr>
    </w:lvl>
  </w:abstractNum>
  <w:abstractNum w:abstractNumId="3" w15:restartNumberingAfterBreak="0">
    <w:nsid w:val="1CC01D3E"/>
    <w:multiLevelType w:val="hybridMultilevel"/>
    <w:tmpl w:val="FB884448"/>
    <w:lvl w:ilvl="0" w:tplc="91502522">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4" w15:restartNumberingAfterBreak="0">
    <w:nsid w:val="2D4B56FF"/>
    <w:multiLevelType w:val="hybridMultilevel"/>
    <w:tmpl w:val="5F52485C"/>
    <w:lvl w:ilvl="0" w:tplc="69C89ADC">
      <w:start w:val="3"/>
      <w:numFmt w:val="bullet"/>
      <w:lvlText w:val="-"/>
      <w:lvlJc w:val="left"/>
      <w:pPr>
        <w:ind w:left="1778" w:hanging="360"/>
      </w:pPr>
      <w:rPr>
        <w:rFonts w:ascii="Times New Roman" w:eastAsia="Times New Roman" w:hAnsi="Times New Roman" w:hint="default"/>
      </w:rPr>
    </w:lvl>
    <w:lvl w:ilvl="1" w:tplc="04190003" w:tentative="1">
      <w:start w:val="1"/>
      <w:numFmt w:val="bullet"/>
      <w:lvlText w:val="o"/>
      <w:lvlJc w:val="left"/>
      <w:pPr>
        <w:ind w:left="2498" w:hanging="360"/>
      </w:pPr>
      <w:rPr>
        <w:rFonts w:ascii="Courier New" w:hAnsi="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5" w15:restartNumberingAfterBreak="0">
    <w:nsid w:val="3BE50A04"/>
    <w:multiLevelType w:val="singleLevel"/>
    <w:tmpl w:val="52284E86"/>
    <w:lvl w:ilvl="0">
      <w:start w:val="1"/>
      <w:numFmt w:val="decimal"/>
      <w:lvlText w:val="%1. "/>
      <w:legacy w:legacy="1" w:legacySpace="0" w:legacyIndent="283"/>
      <w:lvlJc w:val="left"/>
      <w:pPr>
        <w:ind w:left="993" w:hanging="283"/>
      </w:pPr>
      <w:rPr>
        <w:rFonts w:ascii="Times New Roman" w:hAnsi="Times New Roman" w:cs="Times New Roman" w:hint="default"/>
        <w:b/>
        <w:bCs/>
        <w:i w:val="0"/>
        <w:iCs w:val="0"/>
        <w:sz w:val="28"/>
        <w:szCs w:val="28"/>
      </w:rPr>
    </w:lvl>
  </w:abstractNum>
  <w:abstractNum w:abstractNumId="6" w15:restartNumberingAfterBreak="0">
    <w:nsid w:val="49B6189D"/>
    <w:multiLevelType w:val="hybridMultilevel"/>
    <w:tmpl w:val="0B2854CE"/>
    <w:lvl w:ilvl="0" w:tplc="7EC6EFEE">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7" w15:restartNumberingAfterBreak="0">
    <w:nsid w:val="53CA3904"/>
    <w:multiLevelType w:val="hybridMultilevel"/>
    <w:tmpl w:val="3830D1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8" w15:restartNumberingAfterBreak="0">
    <w:nsid w:val="666039A8"/>
    <w:multiLevelType w:val="hybridMultilevel"/>
    <w:tmpl w:val="2AA8B228"/>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9" w15:restartNumberingAfterBreak="0">
    <w:nsid w:val="72D3671D"/>
    <w:multiLevelType w:val="hybridMultilevel"/>
    <w:tmpl w:val="D488E374"/>
    <w:lvl w:ilvl="0" w:tplc="EAEE3EF6">
      <w:start w:val="3"/>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0" w15:restartNumberingAfterBreak="0">
    <w:nsid w:val="78BC1563"/>
    <w:multiLevelType w:val="singleLevel"/>
    <w:tmpl w:val="DA4C1B90"/>
    <w:lvl w:ilvl="0">
      <w:start w:val="3"/>
      <w:numFmt w:val="decimal"/>
      <w:lvlText w:val="%1. "/>
      <w:legacy w:legacy="1" w:legacySpace="0" w:legacyIndent="283"/>
      <w:lvlJc w:val="left"/>
      <w:pPr>
        <w:ind w:left="992" w:hanging="283"/>
      </w:pPr>
      <w:rPr>
        <w:rFonts w:ascii="Times New Roman" w:hAnsi="Times New Roman" w:cs="Times New Roman" w:hint="default"/>
        <w:b/>
        <w:bCs/>
        <w:i w:val="0"/>
        <w:iCs w:val="0"/>
        <w:sz w:val="28"/>
        <w:szCs w:val="28"/>
      </w:rPr>
    </w:lvl>
  </w:abstractNum>
  <w:num w:numId="1">
    <w:abstractNumId w:val="5"/>
  </w:num>
  <w:num w:numId="2">
    <w:abstractNumId w:val="10"/>
  </w:num>
  <w:num w:numId="3">
    <w:abstractNumId w:val="3"/>
  </w:num>
  <w:num w:numId="4">
    <w:abstractNumId w:val="2"/>
  </w:num>
  <w:num w:numId="5">
    <w:abstractNumId w:val="0"/>
  </w:num>
  <w:num w:numId="6">
    <w:abstractNumId w:val="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 w:numId="11">
    <w:abstractNumId w:val="9"/>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AFB"/>
    <w:rsid w:val="000256A9"/>
    <w:rsid w:val="0003113D"/>
    <w:rsid w:val="00050591"/>
    <w:rsid w:val="00052FEA"/>
    <w:rsid w:val="00082EE7"/>
    <w:rsid w:val="000A5387"/>
    <w:rsid w:val="000C2C8B"/>
    <w:rsid w:val="000D2FD2"/>
    <w:rsid w:val="000E5236"/>
    <w:rsid w:val="000F164A"/>
    <w:rsid w:val="000F38AB"/>
    <w:rsid w:val="000F71D9"/>
    <w:rsid w:val="00116550"/>
    <w:rsid w:val="00122317"/>
    <w:rsid w:val="001401C2"/>
    <w:rsid w:val="00146BD6"/>
    <w:rsid w:val="001470FF"/>
    <w:rsid w:val="00151F83"/>
    <w:rsid w:val="00160316"/>
    <w:rsid w:val="00161F55"/>
    <w:rsid w:val="00174050"/>
    <w:rsid w:val="0018037E"/>
    <w:rsid w:val="00181CCA"/>
    <w:rsid w:val="00195377"/>
    <w:rsid w:val="00197A0F"/>
    <w:rsid w:val="001A0F0C"/>
    <w:rsid w:val="001A2CBF"/>
    <w:rsid w:val="001D788E"/>
    <w:rsid w:val="001F3DC0"/>
    <w:rsid w:val="001F542D"/>
    <w:rsid w:val="00201A32"/>
    <w:rsid w:val="00201DB3"/>
    <w:rsid w:val="00210B29"/>
    <w:rsid w:val="00227E58"/>
    <w:rsid w:val="00232DDA"/>
    <w:rsid w:val="0023521C"/>
    <w:rsid w:val="00277088"/>
    <w:rsid w:val="00291C31"/>
    <w:rsid w:val="00293688"/>
    <w:rsid w:val="002A3C32"/>
    <w:rsid w:val="002B10DF"/>
    <w:rsid w:val="002B7932"/>
    <w:rsid w:val="002C1FBE"/>
    <w:rsid w:val="002C33AD"/>
    <w:rsid w:val="002F01AA"/>
    <w:rsid w:val="002F32E2"/>
    <w:rsid w:val="003005F6"/>
    <w:rsid w:val="00313456"/>
    <w:rsid w:val="00323AFB"/>
    <w:rsid w:val="00330804"/>
    <w:rsid w:val="003331D7"/>
    <w:rsid w:val="00352D1B"/>
    <w:rsid w:val="003567C0"/>
    <w:rsid w:val="00366487"/>
    <w:rsid w:val="00373CC5"/>
    <w:rsid w:val="003831E7"/>
    <w:rsid w:val="003901A2"/>
    <w:rsid w:val="0039262A"/>
    <w:rsid w:val="003C2552"/>
    <w:rsid w:val="003D2654"/>
    <w:rsid w:val="00401490"/>
    <w:rsid w:val="004066C3"/>
    <w:rsid w:val="0041696F"/>
    <w:rsid w:val="00417742"/>
    <w:rsid w:val="00420190"/>
    <w:rsid w:val="00430FED"/>
    <w:rsid w:val="00454219"/>
    <w:rsid w:val="00455D55"/>
    <w:rsid w:val="00471E95"/>
    <w:rsid w:val="00477784"/>
    <w:rsid w:val="00497388"/>
    <w:rsid w:val="004A0458"/>
    <w:rsid w:val="004C70FD"/>
    <w:rsid w:val="00516580"/>
    <w:rsid w:val="00531DB9"/>
    <w:rsid w:val="00537867"/>
    <w:rsid w:val="00547067"/>
    <w:rsid w:val="00547D37"/>
    <w:rsid w:val="005532E3"/>
    <w:rsid w:val="00564FE2"/>
    <w:rsid w:val="005766FB"/>
    <w:rsid w:val="005779A3"/>
    <w:rsid w:val="00582596"/>
    <w:rsid w:val="005836AE"/>
    <w:rsid w:val="00592C0C"/>
    <w:rsid w:val="00594234"/>
    <w:rsid w:val="005A0729"/>
    <w:rsid w:val="005B0CB7"/>
    <w:rsid w:val="005B5538"/>
    <w:rsid w:val="005B62DD"/>
    <w:rsid w:val="005B735C"/>
    <w:rsid w:val="005F0A28"/>
    <w:rsid w:val="005F79BF"/>
    <w:rsid w:val="005F7A56"/>
    <w:rsid w:val="006017EB"/>
    <w:rsid w:val="00602157"/>
    <w:rsid w:val="0062022B"/>
    <w:rsid w:val="00620D82"/>
    <w:rsid w:val="0062307D"/>
    <w:rsid w:val="006278AC"/>
    <w:rsid w:val="006455DF"/>
    <w:rsid w:val="00661EE5"/>
    <w:rsid w:val="00662B7F"/>
    <w:rsid w:val="0066356B"/>
    <w:rsid w:val="00665BAB"/>
    <w:rsid w:val="006901B2"/>
    <w:rsid w:val="006A0C9F"/>
    <w:rsid w:val="006A7A00"/>
    <w:rsid w:val="006C3422"/>
    <w:rsid w:val="006C61B1"/>
    <w:rsid w:val="006D07DF"/>
    <w:rsid w:val="006D2E48"/>
    <w:rsid w:val="006D72BB"/>
    <w:rsid w:val="006E49E8"/>
    <w:rsid w:val="006E5FBB"/>
    <w:rsid w:val="0070337A"/>
    <w:rsid w:val="007176BA"/>
    <w:rsid w:val="00760E6B"/>
    <w:rsid w:val="0076388C"/>
    <w:rsid w:val="00773289"/>
    <w:rsid w:val="00773CC5"/>
    <w:rsid w:val="00782645"/>
    <w:rsid w:val="0079204D"/>
    <w:rsid w:val="007A05B9"/>
    <w:rsid w:val="007B62BE"/>
    <w:rsid w:val="007C0F39"/>
    <w:rsid w:val="007D617D"/>
    <w:rsid w:val="008027A1"/>
    <w:rsid w:val="008048F9"/>
    <w:rsid w:val="008158CE"/>
    <w:rsid w:val="00821500"/>
    <w:rsid w:val="0082187A"/>
    <w:rsid w:val="00822CE4"/>
    <w:rsid w:val="00840974"/>
    <w:rsid w:val="00853390"/>
    <w:rsid w:val="00867801"/>
    <w:rsid w:val="00870A68"/>
    <w:rsid w:val="00875DE2"/>
    <w:rsid w:val="008769DF"/>
    <w:rsid w:val="00880581"/>
    <w:rsid w:val="00883A2A"/>
    <w:rsid w:val="008871DA"/>
    <w:rsid w:val="00894147"/>
    <w:rsid w:val="008A2362"/>
    <w:rsid w:val="008A7C09"/>
    <w:rsid w:val="008B1308"/>
    <w:rsid w:val="008B5A1C"/>
    <w:rsid w:val="008B6C3C"/>
    <w:rsid w:val="008C15D1"/>
    <w:rsid w:val="008D32B9"/>
    <w:rsid w:val="008D5469"/>
    <w:rsid w:val="008D6D51"/>
    <w:rsid w:val="009075B7"/>
    <w:rsid w:val="00932A7F"/>
    <w:rsid w:val="00951A98"/>
    <w:rsid w:val="00957087"/>
    <w:rsid w:val="009653AD"/>
    <w:rsid w:val="00966CE7"/>
    <w:rsid w:val="00967607"/>
    <w:rsid w:val="00981027"/>
    <w:rsid w:val="009B2657"/>
    <w:rsid w:val="009B74D0"/>
    <w:rsid w:val="009C341B"/>
    <w:rsid w:val="009D59AE"/>
    <w:rsid w:val="009E32DE"/>
    <w:rsid w:val="009E7E01"/>
    <w:rsid w:val="009F4C95"/>
    <w:rsid w:val="00A01AF2"/>
    <w:rsid w:val="00A14953"/>
    <w:rsid w:val="00A14B41"/>
    <w:rsid w:val="00A20A70"/>
    <w:rsid w:val="00A2100F"/>
    <w:rsid w:val="00A51D58"/>
    <w:rsid w:val="00A56DCC"/>
    <w:rsid w:val="00A57CB1"/>
    <w:rsid w:val="00A666BC"/>
    <w:rsid w:val="00A84498"/>
    <w:rsid w:val="00AB035C"/>
    <w:rsid w:val="00AB1AB3"/>
    <w:rsid w:val="00AB4DF4"/>
    <w:rsid w:val="00AC1D6B"/>
    <w:rsid w:val="00AC2BCF"/>
    <w:rsid w:val="00AD2CF8"/>
    <w:rsid w:val="00AD368E"/>
    <w:rsid w:val="00AF6012"/>
    <w:rsid w:val="00B1221B"/>
    <w:rsid w:val="00B13F1E"/>
    <w:rsid w:val="00B1763F"/>
    <w:rsid w:val="00B4326A"/>
    <w:rsid w:val="00B54C7A"/>
    <w:rsid w:val="00B91B9E"/>
    <w:rsid w:val="00B94A95"/>
    <w:rsid w:val="00BA2F50"/>
    <w:rsid w:val="00BB2233"/>
    <w:rsid w:val="00BF2272"/>
    <w:rsid w:val="00C03CB3"/>
    <w:rsid w:val="00C04E56"/>
    <w:rsid w:val="00C059B4"/>
    <w:rsid w:val="00C05AB6"/>
    <w:rsid w:val="00C2249F"/>
    <w:rsid w:val="00C450B7"/>
    <w:rsid w:val="00C472B4"/>
    <w:rsid w:val="00C50ABD"/>
    <w:rsid w:val="00C861A4"/>
    <w:rsid w:val="00C87D63"/>
    <w:rsid w:val="00C91D43"/>
    <w:rsid w:val="00C96BB9"/>
    <w:rsid w:val="00CA7CC9"/>
    <w:rsid w:val="00CB4AB6"/>
    <w:rsid w:val="00CC4946"/>
    <w:rsid w:val="00CC6F6F"/>
    <w:rsid w:val="00CD6489"/>
    <w:rsid w:val="00CE4E9A"/>
    <w:rsid w:val="00CF3096"/>
    <w:rsid w:val="00D068D2"/>
    <w:rsid w:val="00D12E67"/>
    <w:rsid w:val="00D278A9"/>
    <w:rsid w:val="00D40236"/>
    <w:rsid w:val="00D5489B"/>
    <w:rsid w:val="00D54D00"/>
    <w:rsid w:val="00D76EC4"/>
    <w:rsid w:val="00D85285"/>
    <w:rsid w:val="00D87940"/>
    <w:rsid w:val="00D92860"/>
    <w:rsid w:val="00D95DFA"/>
    <w:rsid w:val="00DA1A3F"/>
    <w:rsid w:val="00DD05E7"/>
    <w:rsid w:val="00DD370C"/>
    <w:rsid w:val="00DD63DB"/>
    <w:rsid w:val="00DE1720"/>
    <w:rsid w:val="00DE3604"/>
    <w:rsid w:val="00E07C8F"/>
    <w:rsid w:val="00E1158F"/>
    <w:rsid w:val="00E3010F"/>
    <w:rsid w:val="00E31BE1"/>
    <w:rsid w:val="00E352D0"/>
    <w:rsid w:val="00E40A22"/>
    <w:rsid w:val="00E418B3"/>
    <w:rsid w:val="00E51BDD"/>
    <w:rsid w:val="00E85846"/>
    <w:rsid w:val="00E940A6"/>
    <w:rsid w:val="00EA2B02"/>
    <w:rsid w:val="00EA578D"/>
    <w:rsid w:val="00EB2BDE"/>
    <w:rsid w:val="00EB4B11"/>
    <w:rsid w:val="00EB651A"/>
    <w:rsid w:val="00EB6D1D"/>
    <w:rsid w:val="00EB7ADB"/>
    <w:rsid w:val="00ED3550"/>
    <w:rsid w:val="00ED46E5"/>
    <w:rsid w:val="00ED5209"/>
    <w:rsid w:val="00EE4917"/>
    <w:rsid w:val="00EE5813"/>
    <w:rsid w:val="00EE6B15"/>
    <w:rsid w:val="00EF5D29"/>
    <w:rsid w:val="00F274CF"/>
    <w:rsid w:val="00F42CF9"/>
    <w:rsid w:val="00F5591F"/>
    <w:rsid w:val="00F57B6F"/>
    <w:rsid w:val="00F72FE2"/>
    <w:rsid w:val="00F735E2"/>
    <w:rsid w:val="00F90F6C"/>
    <w:rsid w:val="00F93893"/>
    <w:rsid w:val="00FA098F"/>
    <w:rsid w:val="00FA31B1"/>
    <w:rsid w:val="00FC2442"/>
    <w:rsid w:val="00FF1978"/>
    <w:rsid w:val="00FF3E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B41FB1-8561-460B-A8D5-BF6DFF9E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AFB"/>
    <w:pPr>
      <w:autoSpaceDE w:val="0"/>
      <w:autoSpaceDN w:val="0"/>
      <w:spacing w:after="0" w:line="240" w:lineRule="auto"/>
    </w:pPr>
    <w:rPr>
      <w:sz w:val="28"/>
      <w:szCs w:val="28"/>
    </w:rPr>
  </w:style>
  <w:style w:type="paragraph" w:styleId="2">
    <w:name w:val="heading 2"/>
    <w:basedOn w:val="a"/>
    <w:next w:val="a"/>
    <w:link w:val="20"/>
    <w:uiPriority w:val="99"/>
    <w:qFormat/>
    <w:rsid w:val="00323AFB"/>
    <w:pPr>
      <w:keepNext/>
      <w:jc w:val="center"/>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323AFB"/>
    <w:rPr>
      <w:rFonts w:cs="Times New Roman"/>
      <w:b/>
      <w:bCs/>
      <w:sz w:val="28"/>
      <w:szCs w:val="28"/>
      <w:lang w:val="uk-UA" w:eastAsia="uk-UA" w:bidi="ar-SA"/>
    </w:rPr>
  </w:style>
  <w:style w:type="paragraph" w:styleId="21">
    <w:name w:val="Body Text 2"/>
    <w:basedOn w:val="a"/>
    <w:link w:val="22"/>
    <w:uiPriority w:val="99"/>
    <w:rsid w:val="00323AFB"/>
    <w:pPr>
      <w:tabs>
        <w:tab w:val="left" w:pos="0"/>
      </w:tabs>
      <w:jc w:val="both"/>
    </w:pPr>
    <w:rPr>
      <w:b/>
      <w:bCs/>
    </w:rPr>
  </w:style>
  <w:style w:type="character" w:customStyle="1" w:styleId="22">
    <w:name w:val="Основний текст 2 Знак"/>
    <w:basedOn w:val="a0"/>
    <w:link w:val="21"/>
    <w:uiPriority w:val="99"/>
    <w:locked/>
    <w:rsid w:val="00323AFB"/>
    <w:rPr>
      <w:rFonts w:cs="Times New Roman"/>
      <w:b/>
      <w:bCs/>
      <w:sz w:val="28"/>
      <w:szCs w:val="28"/>
      <w:lang w:val="uk-UA" w:eastAsia="uk-UA" w:bidi="ar-SA"/>
    </w:rPr>
  </w:style>
  <w:style w:type="paragraph" w:styleId="a3">
    <w:name w:val="Balloon Text"/>
    <w:basedOn w:val="a"/>
    <w:link w:val="a4"/>
    <w:uiPriority w:val="99"/>
    <w:semiHidden/>
    <w:rsid w:val="00AC1D6B"/>
    <w:rPr>
      <w:rFonts w:ascii="Tahoma" w:hAnsi="Tahoma" w:cs="Tahoma"/>
      <w:sz w:val="16"/>
      <w:szCs w:val="16"/>
    </w:rPr>
  </w:style>
  <w:style w:type="character" w:customStyle="1" w:styleId="a4">
    <w:name w:val="Текст у виносці Знак"/>
    <w:basedOn w:val="a0"/>
    <w:link w:val="a3"/>
    <w:uiPriority w:val="99"/>
    <w:semiHidden/>
    <w:locked/>
    <w:rPr>
      <w:rFonts w:ascii="Segoe UI" w:hAnsi="Segoe UI" w:cs="Segoe UI"/>
      <w:sz w:val="18"/>
      <w:szCs w:val="18"/>
    </w:rPr>
  </w:style>
  <w:style w:type="paragraph" w:styleId="23">
    <w:name w:val="Body Text Indent 2"/>
    <w:basedOn w:val="a"/>
    <w:link w:val="24"/>
    <w:uiPriority w:val="99"/>
    <w:rsid w:val="00323AFB"/>
    <w:pPr>
      <w:ind w:firstLine="724"/>
      <w:jc w:val="both"/>
    </w:pPr>
    <w:rPr>
      <w:b/>
      <w:bCs/>
    </w:rPr>
  </w:style>
  <w:style w:type="character" w:customStyle="1" w:styleId="24">
    <w:name w:val="Основний текст з відступом 2 Знак"/>
    <w:basedOn w:val="a0"/>
    <w:link w:val="23"/>
    <w:uiPriority w:val="99"/>
    <w:locked/>
    <w:rsid w:val="00323AFB"/>
    <w:rPr>
      <w:rFonts w:cs="Times New Roman"/>
      <w:b/>
      <w:bCs/>
      <w:sz w:val="28"/>
      <w:szCs w:val="28"/>
      <w:lang w:val="uk-UA" w:eastAsia="uk-UA" w:bidi="ar-SA"/>
    </w:rPr>
  </w:style>
  <w:style w:type="paragraph" w:styleId="3">
    <w:name w:val="Body Text Indent 3"/>
    <w:basedOn w:val="a"/>
    <w:link w:val="30"/>
    <w:uiPriority w:val="99"/>
    <w:rsid w:val="00323AFB"/>
    <w:pPr>
      <w:ind w:firstLine="709"/>
      <w:jc w:val="both"/>
    </w:pPr>
  </w:style>
  <w:style w:type="character" w:customStyle="1" w:styleId="30">
    <w:name w:val="Основний текст з відступом 3 Знак"/>
    <w:basedOn w:val="a0"/>
    <w:link w:val="3"/>
    <w:uiPriority w:val="99"/>
    <w:locked/>
    <w:rsid w:val="00323AFB"/>
    <w:rPr>
      <w:rFonts w:cs="Times New Roman"/>
      <w:sz w:val="28"/>
      <w:szCs w:val="28"/>
      <w:lang w:val="uk-UA" w:eastAsia="uk-UA" w:bidi="ar-SA"/>
    </w:rPr>
  </w:style>
  <w:style w:type="paragraph" w:styleId="a5">
    <w:name w:val="header"/>
    <w:basedOn w:val="a"/>
    <w:link w:val="a6"/>
    <w:uiPriority w:val="99"/>
    <w:rsid w:val="00323AFB"/>
    <w:pPr>
      <w:tabs>
        <w:tab w:val="center" w:pos="4677"/>
        <w:tab w:val="right" w:pos="9355"/>
      </w:tabs>
    </w:pPr>
  </w:style>
  <w:style w:type="character" w:customStyle="1" w:styleId="a6">
    <w:name w:val="Верхній колонтитул Знак"/>
    <w:basedOn w:val="a0"/>
    <w:link w:val="a5"/>
    <w:uiPriority w:val="99"/>
    <w:locked/>
    <w:rPr>
      <w:rFonts w:cs="Times New Roman"/>
      <w:sz w:val="28"/>
      <w:szCs w:val="28"/>
    </w:rPr>
  </w:style>
  <w:style w:type="character" w:styleId="a7">
    <w:name w:val="page number"/>
    <w:basedOn w:val="a0"/>
    <w:uiPriority w:val="99"/>
    <w:rsid w:val="00323AFB"/>
    <w:rPr>
      <w:rFonts w:cs="Times New Roman"/>
    </w:rPr>
  </w:style>
  <w:style w:type="character" w:customStyle="1" w:styleId="rvts0">
    <w:name w:val="rvts0"/>
    <w:basedOn w:val="a0"/>
    <w:uiPriority w:val="99"/>
    <w:rsid w:val="00E85846"/>
    <w:rPr>
      <w:rFonts w:cs="Times New Roman"/>
    </w:rPr>
  </w:style>
  <w:style w:type="character" w:customStyle="1" w:styleId="rvts9">
    <w:name w:val="rvts9"/>
    <w:basedOn w:val="a0"/>
    <w:rsid w:val="00E85846"/>
    <w:rPr>
      <w:rFonts w:cs="Times New Roman"/>
    </w:rPr>
  </w:style>
  <w:style w:type="paragraph" w:customStyle="1" w:styleId="rvps2">
    <w:name w:val="rvps2"/>
    <w:basedOn w:val="a"/>
    <w:rsid w:val="00E85846"/>
    <w:pPr>
      <w:autoSpaceDE/>
      <w:autoSpaceDN/>
      <w:spacing w:before="100" w:beforeAutospacing="1" w:after="100" w:afterAutospacing="1"/>
    </w:pPr>
    <w:rPr>
      <w:sz w:val="24"/>
      <w:szCs w:val="24"/>
    </w:rPr>
  </w:style>
  <w:style w:type="character" w:customStyle="1" w:styleId="rvts37">
    <w:name w:val="rvts37"/>
    <w:basedOn w:val="a0"/>
    <w:uiPriority w:val="99"/>
    <w:rsid w:val="00E85846"/>
    <w:rPr>
      <w:rFonts w:cs="Times New Roman"/>
    </w:rPr>
  </w:style>
  <w:style w:type="paragraph" w:styleId="a8">
    <w:name w:val="footnote text"/>
    <w:basedOn w:val="a"/>
    <w:link w:val="a9"/>
    <w:uiPriority w:val="99"/>
    <w:rsid w:val="00867801"/>
    <w:pPr>
      <w:autoSpaceDE/>
      <w:autoSpaceDN/>
    </w:pPr>
    <w:rPr>
      <w:sz w:val="20"/>
      <w:szCs w:val="20"/>
      <w:lang w:eastAsia="ru-RU"/>
    </w:rPr>
  </w:style>
  <w:style w:type="character" w:customStyle="1" w:styleId="a9">
    <w:name w:val="Текст виноски Знак"/>
    <w:basedOn w:val="a0"/>
    <w:link w:val="a8"/>
    <w:uiPriority w:val="99"/>
    <w:locked/>
    <w:rPr>
      <w:rFonts w:cs="Times New Roman"/>
      <w:sz w:val="20"/>
      <w:szCs w:val="20"/>
    </w:rPr>
  </w:style>
  <w:style w:type="character" w:styleId="aa">
    <w:name w:val="footnote reference"/>
    <w:basedOn w:val="a0"/>
    <w:uiPriority w:val="99"/>
    <w:rsid w:val="00867801"/>
    <w:rPr>
      <w:rFonts w:cs="Times New Roman"/>
      <w:vertAlign w:val="superscript"/>
    </w:rPr>
  </w:style>
  <w:style w:type="character" w:styleId="ab">
    <w:name w:val="Hyperlink"/>
    <w:basedOn w:val="a0"/>
    <w:uiPriority w:val="99"/>
    <w:rsid w:val="00867801"/>
    <w:rPr>
      <w:rFonts w:cs="Times New Roman"/>
      <w:color w:val="0000FF"/>
      <w:u w:val="single"/>
    </w:rPr>
  </w:style>
  <w:style w:type="paragraph" w:customStyle="1" w:styleId="ac">
    <w:name w:val="Назва документа"/>
    <w:basedOn w:val="a"/>
    <w:next w:val="a"/>
    <w:uiPriority w:val="99"/>
    <w:rsid w:val="00146BD6"/>
    <w:pPr>
      <w:keepNext/>
      <w:keepLines/>
      <w:autoSpaceDE/>
      <w:autoSpaceDN/>
      <w:spacing w:before="240" w:after="240"/>
      <w:jc w:val="center"/>
    </w:pPr>
    <w:rPr>
      <w:rFonts w:ascii="Antiqua" w:hAnsi="Antiqua" w:cs="Antiqua"/>
      <w:b/>
      <w:bCs/>
      <w:sz w:val="26"/>
      <w:szCs w:val="26"/>
      <w:lang w:eastAsia="ru-RU"/>
    </w:rPr>
  </w:style>
  <w:style w:type="paragraph" w:customStyle="1" w:styleId="1">
    <w:name w:val="Знак Знак1 Знак Знак Знак Знак Знак Знак"/>
    <w:basedOn w:val="a"/>
    <w:uiPriority w:val="99"/>
    <w:rsid w:val="00E352D0"/>
    <w:pPr>
      <w:autoSpaceDE/>
      <w:autoSpaceDN/>
    </w:pPr>
    <w:rPr>
      <w:rFonts w:ascii="Verdana" w:hAnsi="Verdana" w:cs="Verdana"/>
      <w:sz w:val="20"/>
      <w:szCs w:val="20"/>
      <w:lang w:val="en-US" w:eastAsia="en-US"/>
    </w:rPr>
  </w:style>
  <w:style w:type="character" w:customStyle="1" w:styleId="apple-converted-space">
    <w:name w:val="apple-converted-space"/>
    <w:basedOn w:val="a0"/>
    <w:uiPriority w:val="99"/>
    <w:rsid w:val="0079204D"/>
    <w:rPr>
      <w:rFonts w:cs="Times New Roman"/>
    </w:rPr>
  </w:style>
  <w:style w:type="paragraph" w:styleId="HTML">
    <w:name w:val="HTML Preformatted"/>
    <w:basedOn w:val="a"/>
    <w:link w:val="HTML0"/>
    <w:uiPriority w:val="99"/>
    <w:locked/>
    <w:rsid w:val="00477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0">
    <w:name w:val="Стандартний HTML Знак"/>
    <w:basedOn w:val="a0"/>
    <w:link w:val="HTML"/>
    <w:uiPriority w:val="99"/>
    <w:locked/>
    <w:rsid w:val="00477784"/>
    <w:rPr>
      <w:rFonts w:ascii="Courier New" w:hAnsi="Courier New" w:cs="Courier New"/>
      <w:sz w:val="20"/>
      <w:szCs w:val="20"/>
    </w:rPr>
  </w:style>
  <w:style w:type="character" w:styleId="ad">
    <w:name w:val="Emphasis"/>
    <w:basedOn w:val="a0"/>
    <w:uiPriority w:val="99"/>
    <w:qFormat/>
    <w:locked/>
    <w:rsid w:val="005B735C"/>
    <w:rPr>
      <w:rFonts w:cs="Times New Roman"/>
      <w:i/>
      <w:iCs/>
    </w:rPr>
  </w:style>
  <w:style w:type="paragraph" w:styleId="ae">
    <w:name w:val="footer"/>
    <w:basedOn w:val="a"/>
    <w:link w:val="af"/>
    <w:uiPriority w:val="99"/>
    <w:semiHidden/>
    <w:locked/>
    <w:rsid w:val="005F79BF"/>
    <w:pPr>
      <w:tabs>
        <w:tab w:val="center" w:pos="4677"/>
        <w:tab w:val="right" w:pos="9355"/>
      </w:tabs>
    </w:pPr>
  </w:style>
  <w:style w:type="character" w:customStyle="1" w:styleId="af">
    <w:name w:val="Нижній колонтитул Знак"/>
    <w:basedOn w:val="a0"/>
    <w:link w:val="ae"/>
    <w:uiPriority w:val="99"/>
    <w:semiHidden/>
    <w:locked/>
    <w:rsid w:val="005F79BF"/>
    <w:rPr>
      <w:rFonts w:cs="Times New Roman"/>
      <w:sz w:val="28"/>
      <w:szCs w:val="28"/>
      <w:lang w:val="uk-UA" w:eastAsia="uk-UA"/>
    </w:rPr>
  </w:style>
  <w:style w:type="paragraph" w:styleId="af0">
    <w:name w:val="Body Text Indent"/>
    <w:basedOn w:val="a"/>
    <w:link w:val="af1"/>
    <w:uiPriority w:val="99"/>
    <w:locked/>
    <w:rsid w:val="00AF6012"/>
    <w:pPr>
      <w:spacing w:after="120"/>
      <w:ind w:left="283"/>
    </w:pPr>
    <w:rPr>
      <w:sz w:val="24"/>
      <w:szCs w:val="24"/>
      <w:lang w:val="ru-RU" w:eastAsia="ru-RU"/>
    </w:rPr>
  </w:style>
  <w:style w:type="character" w:customStyle="1" w:styleId="af1">
    <w:name w:val="Основний текст з відступом Знак"/>
    <w:basedOn w:val="a0"/>
    <w:link w:val="af0"/>
    <w:uiPriority w:val="99"/>
    <w:locked/>
    <w:rsid w:val="00AF6012"/>
    <w:rPr>
      <w:rFonts w:cs="Times New Roman"/>
      <w:sz w:val="24"/>
      <w:szCs w:val="24"/>
    </w:rPr>
  </w:style>
  <w:style w:type="paragraph" w:styleId="af2">
    <w:name w:val="Body Text"/>
    <w:basedOn w:val="a"/>
    <w:link w:val="af3"/>
    <w:uiPriority w:val="99"/>
    <w:semiHidden/>
    <w:unhideWhenUsed/>
    <w:locked/>
    <w:rsid w:val="00760E6B"/>
    <w:pPr>
      <w:spacing w:after="120"/>
    </w:pPr>
  </w:style>
  <w:style w:type="character" w:customStyle="1" w:styleId="af3">
    <w:name w:val="Основний текст Знак"/>
    <w:basedOn w:val="a0"/>
    <w:link w:val="af2"/>
    <w:uiPriority w:val="99"/>
    <w:semiHidden/>
    <w:locked/>
    <w:rsid w:val="00760E6B"/>
    <w:rPr>
      <w:rFonts w:cs="Times New Roman"/>
      <w:sz w:val="28"/>
      <w:szCs w:val="28"/>
    </w:rPr>
  </w:style>
  <w:style w:type="paragraph" w:customStyle="1" w:styleId="rvps6">
    <w:name w:val="rvps6"/>
    <w:basedOn w:val="a"/>
    <w:uiPriority w:val="99"/>
    <w:rsid w:val="00760E6B"/>
    <w:pPr>
      <w:autoSpaceDE/>
      <w:autoSpaceDN/>
      <w:spacing w:before="100" w:beforeAutospacing="1" w:after="100" w:afterAutospacing="1"/>
    </w:pPr>
    <w:rPr>
      <w:sz w:val="24"/>
      <w:szCs w:val="24"/>
      <w:lang w:val="ru-RU" w:eastAsia="ru-RU"/>
    </w:rPr>
  </w:style>
  <w:style w:type="character" w:customStyle="1" w:styleId="rvts23">
    <w:name w:val="rvts23"/>
    <w:rsid w:val="00760E6B"/>
    <w:rPr>
      <w:rFonts w:ascii="Times New Roman" w:hAnsi="Times New Roman"/>
    </w:rPr>
  </w:style>
  <w:style w:type="paragraph" w:styleId="af4">
    <w:name w:val="List Paragraph"/>
    <w:basedOn w:val="a"/>
    <w:uiPriority w:val="34"/>
    <w:qFormat/>
    <w:rsid w:val="0066356B"/>
    <w:pPr>
      <w:autoSpaceDE/>
      <w:autoSpaceDN/>
      <w:spacing w:after="120"/>
      <w:ind w:left="567"/>
      <w:contextualSpacing/>
    </w:pPr>
    <w:rPr>
      <w:rFonts w:ascii="Arial" w:hAnsi="Arial"/>
      <w:sz w:val="22"/>
      <w:szCs w:val="22"/>
      <w:lang w:val="en-US" w:eastAsia="en-US"/>
    </w:rPr>
  </w:style>
  <w:style w:type="paragraph" w:styleId="af5">
    <w:name w:val="Normal (Web)"/>
    <w:aliases w:val="Знак,Обычный (веб) Знак,Знак1 Знак,Знак1 Знак Знак,Обычный (Web) Знак Знак,Обычный (Web),Знак1 Знак Знак Знак Знак,Знак1 Знак Знак Знак Знак Знак Знак Знак,Знак1,Обычный (веб) Знак2,Обычный (веб) Знак1 Знак,Обычный (веб) Знак Знак Знак"/>
    <w:basedOn w:val="a"/>
    <w:link w:val="af6"/>
    <w:uiPriority w:val="99"/>
    <w:locked/>
    <w:rsid w:val="002B10DF"/>
    <w:pPr>
      <w:autoSpaceDE/>
      <w:autoSpaceDN/>
      <w:spacing w:before="100" w:beforeAutospacing="1" w:after="100" w:afterAutospacing="1"/>
    </w:pPr>
    <w:rPr>
      <w:sz w:val="24"/>
      <w:szCs w:val="24"/>
      <w:lang w:val="ru-RU" w:eastAsia="ru-RU"/>
    </w:rPr>
  </w:style>
  <w:style w:type="character" w:customStyle="1" w:styleId="af6">
    <w:name w:val="Звичайний (веб) Знак"/>
    <w:aliases w:val="Знак Знак,Обычный (веб) Знак Знак,Знак1 Знак Знак1,Знак1 Знак Знак Знак,Обычный (Web) Знак Знак Знак,Обычный (Web) Знак,Знак1 Знак Знак Знак Знак Знак,Знак1 Знак Знак Знак Знак Знак Знак Знак Знак,Знак1 Знак1"/>
    <w:link w:val="af5"/>
    <w:uiPriority w:val="99"/>
    <w:locked/>
    <w:rsid w:val="002B10DF"/>
    <w:rPr>
      <w:sz w:val="24"/>
      <w:lang w:val="ru-RU" w:eastAsia="ru-RU"/>
    </w:rPr>
  </w:style>
  <w:style w:type="paragraph" w:customStyle="1" w:styleId="Default">
    <w:name w:val="Default"/>
    <w:rsid w:val="00ED46E5"/>
    <w:pPr>
      <w:autoSpaceDE w:val="0"/>
      <w:autoSpaceDN w:val="0"/>
      <w:adjustRightInd w:val="0"/>
      <w:spacing w:after="0" w:line="240" w:lineRule="auto"/>
    </w:pPr>
    <w:rPr>
      <w:rFonts w:ascii="Arial" w:hAnsi="Arial" w:cs="Arial"/>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242359">
      <w:marLeft w:val="0"/>
      <w:marRight w:val="0"/>
      <w:marTop w:val="0"/>
      <w:marBottom w:val="0"/>
      <w:divBdr>
        <w:top w:val="none" w:sz="0" w:space="0" w:color="auto"/>
        <w:left w:val="none" w:sz="0" w:space="0" w:color="auto"/>
        <w:bottom w:val="none" w:sz="0" w:space="0" w:color="auto"/>
        <w:right w:val="none" w:sz="0" w:space="0" w:color="auto"/>
      </w:divBdr>
    </w:div>
    <w:div w:id="1757242360">
      <w:marLeft w:val="0"/>
      <w:marRight w:val="0"/>
      <w:marTop w:val="0"/>
      <w:marBottom w:val="0"/>
      <w:divBdr>
        <w:top w:val="none" w:sz="0" w:space="0" w:color="auto"/>
        <w:left w:val="none" w:sz="0" w:space="0" w:color="auto"/>
        <w:bottom w:val="none" w:sz="0" w:space="0" w:color="auto"/>
        <w:right w:val="none" w:sz="0" w:space="0" w:color="auto"/>
      </w:divBdr>
    </w:div>
    <w:div w:id="1757242361">
      <w:marLeft w:val="0"/>
      <w:marRight w:val="0"/>
      <w:marTop w:val="0"/>
      <w:marBottom w:val="0"/>
      <w:divBdr>
        <w:top w:val="none" w:sz="0" w:space="0" w:color="auto"/>
        <w:left w:val="none" w:sz="0" w:space="0" w:color="auto"/>
        <w:bottom w:val="none" w:sz="0" w:space="0" w:color="auto"/>
        <w:right w:val="none" w:sz="0" w:space="0" w:color="auto"/>
      </w:divBdr>
    </w:div>
    <w:div w:id="1757242362">
      <w:marLeft w:val="0"/>
      <w:marRight w:val="0"/>
      <w:marTop w:val="0"/>
      <w:marBottom w:val="0"/>
      <w:divBdr>
        <w:top w:val="none" w:sz="0" w:space="0" w:color="auto"/>
        <w:left w:val="none" w:sz="0" w:space="0" w:color="auto"/>
        <w:bottom w:val="none" w:sz="0" w:space="0" w:color="auto"/>
        <w:right w:val="none" w:sz="0" w:space="0" w:color="auto"/>
      </w:divBdr>
    </w:div>
    <w:div w:id="1757242363">
      <w:marLeft w:val="0"/>
      <w:marRight w:val="0"/>
      <w:marTop w:val="0"/>
      <w:marBottom w:val="0"/>
      <w:divBdr>
        <w:top w:val="none" w:sz="0" w:space="0" w:color="auto"/>
        <w:left w:val="none" w:sz="0" w:space="0" w:color="auto"/>
        <w:bottom w:val="none" w:sz="0" w:space="0" w:color="auto"/>
        <w:right w:val="none" w:sz="0" w:space="0" w:color="auto"/>
      </w:divBdr>
    </w:div>
    <w:div w:id="1757242364">
      <w:marLeft w:val="0"/>
      <w:marRight w:val="0"/>
      <w:marTop w:val="0"/>
      <w:marBottom w:val="0"/>
      <w:divBdr>
        <w:top w:val="none" w:sz="0" w:space="0" w:color="auto"/>
        <w:left w:val="none" w:sz="0" w:space="0" w:color="auto"/>
        <w:bottom w:val="none" w:sz="0" w:space="0" w:color="auto"/>
        <w:right w:val="none" w:sz="0" w:space="0" w:color="auto"/>
      </w:divBdr>
    </w:div>
    <w:div w:id="1757242365">
      <w:marLeft w:val="0"/>
      <w:marRight w:val="0"/>
      <w:marTop w:val="0"/>
      <w:marBottom w:val="0"/>
      <w:divBdr>
        <w:top w:val="none" w:sz="0" w:space="0" w:color="auto"/>
        <w:left w:val="none" w:sz="0" w:space="0" w:color="auto"/>
        <w:bottom w:val="none" w:sz="0" w:space="0" w:color="auto"/>
        <w:right w:val="none" w:sz="0" w:space="0" w:color="auto"/>
      </w:divBdr>
    </w:div>
    <w:div w:id="1757242366">
      <w:marLeft w:val="0"/>
      <w:marRight w:val="0"/>
      <w:marTop w:val="0"/>
      <w:marBottom w:val="0"/>
      <w:divBdr>
        <w:top w:val="none" w:sz="0" w:space="0" w:color="auto"/>
        <w:left w:val="none" w:sz="0" w:space="0" w:color="auto"/>
        <w:bottom w:val="none" w:sz="0" w:space="0" w:color="auto"/>
        <w:right w:val="none" w:sz="0" w:space="0" w:color="auto"/>
      </w:divBdr>
    </w:div>
    <w:div w:id="1757242367">
      <w:marLeft w:val="0"/>
      <w:marRight w:val="0"/>
      <w:marTop w:val="0"/>
      <w:marBottom w:val="0"/>
      <w:divBdr>
        <w:top w:val="none" w:sz="0" w:space="0" w:color="auto"/>
        <w:left w:val="none" w:sz="0" w:space="0" w:color="auto"/>
        <w:bottom w:val="none" w:sz="0" w:space="0" w:color="auto"/>
        <w:right w:val="none" w:sz="0" w:space="0" w:color="auto"/>
      </w:divBdr>
    </w:div>
    <w:div w:id="1757242368">
      <w:marLeft w:val="0"/>
      <w:marRight w:val="0"/>
      <w:marTop w:val="0"/>
      <w:marBottom w:val="0"/>
      <w:divBdr>
        <w:top w:val="none" w:sz="0" w:space="0" w:color="auto"/>
        <w:left w:val="none" w:sz="0" w:space="0" w:color="auto"/>
        <w:bottom w:val="none" w:sz="0" w:space="0" w:color="auto"/>
        <w:right w:val="none" w:sz="0" w:space="0" w:color="auto"/>
      </w:divBdr>
    </w:div>
    <w:div w:id="175724236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3A5B67-435A-40FB-B9A1-76983932D2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6D17288-0AED-4626-BF35-A5B12718CC64}">
  <ds:schemaRefs>
    <ds:schemaRef ds:uri="http://schemas.microsoft.com/sharepoint/v3/contenttype/forms"/>
  </ds:schemaRefs>
</ds:datastoreItem>
</file>

<file path=customXml/itemProps3.xml><?xml version="1.0" encoding="utf-8"?>
<ds:datastoreItem xmlns:ds="http://schemas.openxmlformats.org/officeDocument/2006/customXml" ds:itemID="{30D5D50A-D979-4F2D-A360-8B3372791E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4198</Words>
  <Characters>2393</Characters>
  <Application>Microsoft Office Word</Application>
  <DocSecurity>0</DocSecurity>
  <Lines>19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2021-12-10T09:06:00Z</dcterms:created>
  <dcterms:modified xsi:type="dcterms:W3CDTF">2021-12-10T09:06:00Z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