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Relationship Id="customR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p>
      <w:pPr>
        <w:spacing w:lineRule="auto" w:line="240" w:beforeAutospacing="0" w:afterAutospacing="0"/>
        <w:contextualSpacing w:val="1"/>
        <w:jc w:val="center"/>
        <w:rPr>
          <w:rStyle w:val="C4"/>
          <w:rFonts w:ascii="Times New Roman" w:hAnsi="Times New Roman"/>
          <w:b w:val="1"/>
          <w:bCs w:val="1"/>
          <w:color w:val="000000"/>
          <w:sz w:val="28"/>
          <w:szCs w:val="28"/>
          <w:shd w:val="clear" w:color="auto" w:fill="FFFFFF"/>
        </w:rPr>
      </w:pPr>
      <w:r>
        <w:rPr>
          <w:rStyle w:val="C4"/>
          <w:rFonts w:ascii="Times New Roman" w:hAnsi="Times New Roman"/>
          <w:b w:val="1"/>
          <w:bCs w:val="1"/>
          <w:color w:val="000000"/>
          <w:sz w:val="28"/>
          <w:szCs w:val="28"/>
          <w:shd w:val="clear" w:color="auto" w:fill="FFFFFF"/>
        </w:rPr>
        <w:t>ПОРІВНЯЛЬНА ТАБЛИЦЯ</w:t>
      </w:r>
    </w:p>
    <w:p>
      <w:pPr>
        <w:spacing w:lineRule="auto" w:line="240" w:beforeAutospacing="0" w:afterAutospacing="0"/>
        <w:contextualSpacing w:val="1"/>
        <w:jc w:val="center"/>
        <w:rPr>
          <w:rStyle w:val="C4"/>
          <w:rFonts w:ascii="Times New Roman" w:hAnsi="Times New Roman"/>
          <w:b w:val="1"/>
          <w:bCs w:val="1"/>
          <w:color w:val="000000"/>
          <w:sz w:val="28"/>
          <w:szCs w:val="28"/>
          <w:shd w:val="clear" w:color="auto" w:fill="FFFFFF"/>
        </w:rPr>
      </w:pPr>
      <w:r>
        <w:rPr>
          <w:rStyle w:val="C4"/>
          <w:rFonts w:ascii="Times New Roman" w:hAnsi="Times New Roman"/>
          <w:b w:val="1"/>
          <w:bCs w:val="1"/>
          <w:color w:val="000000"/>
          <w:sz w:val="28"/>
          <w:szCs w:val="28"/>
          <w:shd w:val="clear" w:color="auto" w:fill="FFFFFF"/>
        </w:rPr>
        <w:t>до проекту Закону України «</w:t>
      </w:r>
      <w:r>
        <w:rPr>
          <w:rFonts w:ascii="Times New Roman" w:hAnsi="Times New Roman"/>
          <w:b w:val="1"/>
          <w:sz w:val="28"/>
          <w:szCs w:val="28"/>
        </w:rPr>
        <w:t>Про основні засади формування та реалізації пріоритетних напрямів наукової, науково-технічної та інноваційної діяльності в Україні</w:t>
      </w:r>
      <w:r>
        <w:rPr>
          <w:rStyle w:val="C4"/>
          <w:rFonts w:ascii="Times New Roman" w:hAnsi="Times New Roman"/>
          <w:b w:val="1"/>
          <w:bCs w:val="1"/>
          <w:color w:val="000000"/>
          <w:sz w:val="28"/>
          <w:szCs w:val="28"/>
          <w:shd w:val="clear" w:color="auto" w:fill="FFFFFF"/>
        </w:rPr>
        <w:t xml:space="preserve">» </w:t>
      </w:r>
    </w:p>
    <w:tbl>
      <w:tblPr>
        <w:tblStyle w:val="T2"/>
        <w:tblW w:w="15163" w:type="dxa"/>
        <w:tblLook w:val="04A0"/>
      </w:tblPr>
      <w:tblGrid/>
      <w:tr>
        <w:tc>
          <w:tcPr>
            <w:tcW w:w="15163" w:type="dxa"/>
            <w:gridSpan w:val="2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450"/>
              <w:contextualSpacing w:val="1"/>
              <w:jc w:val="center"/>
              <w:rPr>
                <w:rStyle w:val="C4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 w:val="1"/>
                <w:sz w:val="28"/>
                <w:szCs w:val="28"/>
              </w:rPr>
              <w:t>Закон України «</w:t>
            </w:r>
            <w:r>
              <w:rPr>
                <w:b w:val="1"/>
                <w:iCs w:val="1"/>
                <w:color w:val="000000"/>
                <w:sz w:val="28"/>
                <w:szCs w:val="28"/>
              </w:rPr>
              <w:t>Про наукову і науково-технічну експертизу»</w:t>
            </w:r>
          </w:p>
        </w:tc>
      </w:tr>
      <w:tr>
        <w:tc>
          <w:tcPr>
            <w:tcW w:w="7508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Цей Закон визначає правові, організаційні і фінансові основи експертної діяльності в науково-технічній сфері, а також загальні основи і принципи регулювання суспільних відносин у галузі організації та проведення наукової та науково-технічної експертизи з метою забезпечення наукового обґрунтування структури і змісту </w:t>
            </w:r>
            <w:r>
              <w:rPr>
                <w:iCs w:val="1"/>
                <w:color w:val="000000"/>
                <w:sz w:val="28"/>
                <w:szCs w:val="28"/>
                <w:shd w:val="clear" w:color="auto" w:fill="FFFFFF"/>
              </w:rPr>
              <w:t>пріоритетних напрямів</w:t>
            </w:r>
            <w:r>
              <w:rPr>
                <w:i w:val="1"/>
                <w:color w:val="000000"/>
                <w:sz w:val="28"/>
                <w:szCs w:val="28"/>
                <w:shd w:val="clear" w:color="auto" w:fill="FFFFFF"/>
              </w:rPr>
              <w:t xml:space="preserve"> розвитку науки і техніки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, наукових, науково-технічних, соціально-економічних, екологічних програм і проектів, визначення напрямів науково-технічної діяльності, аналізу та оцінки ефективності використання науково-технічного потенціалу, результатів досліджень.</w:t>
            </w:r>
          </w:p>
        </w:tc>
        <w:tc>
          <w:tcPr>
            <w:tcW w:w="7655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Цей Закон визначає правові, організаційні і фінансові основи експертної діяльності в науково-технічній сфері, а також загальні основи і принципи регулювання суспільних відносин у галузі організації та проведення наукової та науково-технічної експертизи з метою забезпечення наукового обґрунтування структури і змісту </w:t>
            </w:r>
            <w:r>
              <w:rPr>
                <w:bCs w:val="1"/>
                <w:color w:val="000000"/>
                <w:sz w:val="28"/>
                <w:szCs w:val="28"/>
                <w:shd w:val="clear" w:color="auto" w:fill="FFFFFF"/>
              </w:rPr>
              <w:t>пріоритетних напрямів</w:t>
            </w:r>
            <w:r>
              <w:rPr>
                <w:b w:val="1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b w:val="1"/>
                <w:bCs w:val="1"/>
                <w:sz w:val="28"/>
                <w:szCs w:val="28"/>
              </w:rPr>
              <w:t>наукової, науково-технічної та інноваційної діяльності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, наукових, науково-технічних, соціально-економічних, екологічних програм і проектів, визначення напрямів науково-технічної діяльності, аналізу та оцінки ефективності використання науково-технічного потенціалу, результатів досліджень.</w:t>
            </w:r>
          </w:p>
        </w:tc>
      </w:tr>
      <w:tr>
        <w:trPr>
          <w:trHeight w:hRule="atLeast" w:val="3955"/>
        </w:trPr>
        <w:tc>
          <w:tcPr>
            <w:tcW w:w="7508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/>
                <w:sz w:val="28"/>
                <w:szCs w:val="28"/>
              </w:rPr>
              <w:t>Стаття 24. </w:t>
            </w:r>
            <w:r>
              <w:rPr>
                <w:color w:val="000000"/>
                <w:sz w:val="28"/>
                <w:szCs w:val="28"/>
              </w:rPr>
              <w:t>Висновок державної наукової і науково-технічної експертизи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Висновок державної наукової і науково-технічної експертизи є обов’язковим для прийняття фізичними і юридичними особами до розгляду та врахування при обґрунтуванні структури і змісту </w:t>
            </w:r>
            <w:r>
              <w:rPr>
                <w:iCs w:val="1"/>
                <w:color w:val="000000"/>
                <w:sz w:val="28"/>
                <w:szCs w:val="28"/>
              </w:rPr>
              <w:t>пріоритетних напрямів</w:t>
            </w:r>
            <w:r>
              <w:rPr>
                <w:i w:val="1"/>
                <w:color w:val="000000"/>
                <w:sz w:val="28"/>
                <w:szCs w:val="28"/>
              </w:rPr>
              <w:t xml:space="preserve"> розвитку науки і техніки</w:t>
            </w:r>
            <w:r>
              <w:rPr>
                <w:color w:val="000000"/>
                <w:sz w:val="28"/>
                <w:szCs w:val="28"/>
              </w:rPr>
              <w:t>, наукових і науково-технічних, соціально-економічних, екологічних програм і проектів, реалізації наукової і науково-технічної діяльності, аналізі ефективності використання науково-технічного потенціалу.</w:t>
            </w:r>
          </w:p>
        </w:tc>
        <w:tc>
          <w:tcPr>
            <w:tcW w:w="7655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/>
                <w:sz w:val="28"/>
                <w:szCs w:val="28"/>
              </w:rPr>
              <w:t>Стаття 24. </w:t>
            </w:r>
            <w:r>
              <w:rPr>
                <w:color w:val="000000"/>
                <w:sz w:val="28"/>
                <w:szCs w:val="28"/>
              </w:rPr>
              <w:t>Висновок державної наукової і науково-технічної експертизи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Висновок державної наукової і науково-технічної експертизи є обов’язковим для прийняття фізичними і юридичними особами до розгляду та врахування при обґрунтуванні структури і змісту </w:t>
            </w:r>
            <w:r>
              <w:rPr>
                <w:bCs w:val="1"/>
                <w:color w:val="000000"/>
                <w:sz w:val="28"/>
                <w:szCs w:val="28"/>
                <w:shd w:val="clear" w:color="auto" w:fill="FFFFFF"/>
              </w:rPr>
              <w:t>пріоритетних напрямів</w:t>
            </w:r>
            <w:r>
              <w:rPr>
                <w:b w:val="1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b w:val="1"/>
                <w:bCs w:val="1"/>
                <w:sz w:val="28"/>
                <w:szCs w:val="28"/>
              </w:rPr>
              <w:t>наукової, науково-технічної та інноваційної діяльності</w:t>
            </w:r>
            <w:r>
              <w:rPr>
                <w:color w:val="000000"/>
                <w:sz w:val="28"/>
                <w:szCs w:val="28"/>
              </w:rPr>
              <w:t>, наукових і науково-технічних, соціально-економічних, екологічних програм і проектів, реалізації наукової і науково-технічної діяльності, аналізі ефективності використання науково-технічного потенціалу.</w:t>
            </w:r>
          </w:p>
        </w:tc>
      </w:tr>
      <w:tr>
        <w:tc>
          <w:tcPr>
            <w:tcW w:w="15163" w:type="dxa"/>
            <w:gridSpan w:val="2"/>
          </w:tcPr>
          <w:p>
            <w:pPr>
              <w:contextualSpacing w:val="1"/>
              <w:jc w:val="center"/>
              <w:rPr>
                <w:rStyle w:val="C4"/>
                <w:rFonts w:ascii="Times New Roman" w:hAnsi="Times New Roman"/>
                <w:b w:val="1"/>
                <w:sz w:val="28"/>
                <w:szCs w:val="28"/>
              </w:rPr>
            </w:pPr>
            <w:r>
              <w:rPr>
                <w:rFonts w:ascii="Times New Roman" w:hAnsi="Times New Roman"/>
                <w:b w:val="1"/>
                <w:sz w:val="28"/>
                <w:szCs w:val="28"/>
              </w:rPr>
              <w:t>Закон України «Про інноваційну діяльність</w:t>
            </w:r>
            <w:r>
              <w:rPr>
                <w:rFonts w:ascii="Times New Roman" w:hAnsi="Times New Roman"/>
                <w:b w:val="1"/>
                <w:sz w:val="28"/>
              </w:rPr>
              <w:t>»</w:t>
            </w:r>
          </w:p>
        </w:tc>
      </w:tr>
      <w:tr>
        <w:tc>
          <w:tcPr>
            <w:tcW w:w="7508" w:type="dxa"/>
          </w:tcPr>
          <w:p>
            <w:pPr>
              <w:shd w:val="clear" w:fill="FFFFFF"/>
              <w:spacing w:after="150" w:beforeAutospacing="0" w:afterAutospacing="0"/>
              <w:ind w:firstLine="589"/>
              <w:contextualSpacing w:val="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 w:val="1"/>
                <w:bCs w:val="1"/>
                <w:color w:val="000000" w:themeColor="text1"/>
                <w:sz w:val="28"/>
                <w:szCs w:val="28"/>
                <w:lang w:eastAsia="uk-UA"/>
              </w:rPr>
              <w:t>Стаття 1. 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>Визначення термінів</w:t>
            </w:r>
          </w:p>
          <w:p>
            <w:pPr>
              <w:shd w:val="clear" w:fill="FFFFFF"/>
              <w:spacing w:after="150" w:beforeAutospacing="0" w:afterAutospacing="0"/>
              <w:ind w:firstLine="589"/>
              <w:contextualSpacing w:val="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>1. У цьому Законі наведені нижче терміни вживаються в такому значенні:</w:t>
            </w: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…</w:t>
            </w:r>
          </w:p>
          <w:p>
            <w:pPr>
              <w:ind w:firstLine="589"/>
              <w:contextualSpacing w:val="1"/>
              <w:jc w:val="both"/>
              <w:rPr>
                <w:rStyle w:val="C5"/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пріоритетний інноваційний проект – інноваційний проект, що реалізується в рамках пріоритетних напрямів </w:t>
            </w:r>
            <w:r>
              <w:rPr>
                <w:rFonts w:ascii="Times New Roman" w:hAnsi="Times New Roman"/>
                <w:i w:val="1"/>
                <w:iCs w:val="1"/>
                <w:color w:val="000000" w:themeColor="text1"/>
                <w:sz w:val="28"/>
                <w:szCs w:val="28"/>
                <w:shd w:val="clear" w:color="auto" w:fill="FFFFFF"/>
              </w:rPr>
              <w:t>інноваційної діяльності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;</w:t>
            </w:r>
          </w:p>
        </w:tc>
        <w:tc>
          <w:tcPr>
            <w:tcW w:w="7655" w:type="dxa"/>
          </w:tcPr>
          <w:p>
            <w:pPr>
              <w:shd w:val="clear" w:fill="FFFFFF"/>
              <w:spacing w:after="150" w:beforeAutospacing="0" w:afterAutospacing="0"/>
              <w:ind w:firstLine="589"/>
              <w:contextualSpacing w:val="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 w:val="1"/>
                <w:bCs w:val="1"/>
                <w:color w:val="000000" w:themeColor="text1"/>
                <w:sz w:val="28"/>
                <w:szCs w:val="28"/>
                <w:lang w:eastAsia="uk-UA"/>
              </w:rPr>
              <w:t>Стаття 1. 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>Визначення термінів</w:t>
            </w:r>
          </w:p>
          <w:p>
            <w:pPr>
              <w:shd w:val="clear" w:fill="FFFFFF"/>
              <w:spacing w:after="150" w:beforeAutospacing="0" w:afterAutospacing="0"/>
              <w:ind w:firstLine="589"/>
              <w:contextualSpacing w:val="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>1. У цьому Законі наведені нижче терміни вживаються в такому значенні:</w:t>
            </w: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…</w:t>
            </w:r>
          </w:p>
          <w:p>
            <w:pPr>
              <w:ind w:firstLine="589"/>
              <w:contextualSpacing w:val="1"/>
              <w:jc w:val="both"/>
              <w:rPr>
                <w:rStyle w:val="C4"/>
                <w:rFonts w:ascii="Times New Roman" w:hAnsi="Times New Roman"/>
                <w:i w:val="1"/>
                <w:bCs w:val="1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пріоритетний інноваційний проект – інноваційний проект, що реалізується в рамках </w:t>
            </w:r>
            <w:r>
              <w:rPr>
                <w:rFonts w:ascii="Times New Roman" w:hAnsi="Times New Roman"/>
                <w:bCs w:val="1"/>
                <w:color w:val="000000" w:themeColor="text1"/>
                <w:sz w:val="28"/>
                <w:szCs w:val="28"/>
                <w:shd w:val="clear" w:color="auto" w:fill="FFFFFF"/>
              </w:rPr>
              <w:t>пріоритетних напрямів</w:t>
            </w:r>
            <w:r>
              <w:rPr>
                <w:rFonts w:ascii="Times New Roman" w:hAnsi="Times New Roman"/>
                <w:b w:val="1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b w:val="1"/>
                <w:bCs w:val="1"/>
                <w:color w:val="000000" w:themeColor="text1"/>
                <w:sz w:val="28"/>
                <w:szCs w:val="28"/>
              </w:rPr>
              <w:t>наукової, науково-технічної та інноваційної діяльності;</w:t>
            </w:r>
          </w:p>
        </w:tc>
      </w:tr>
      <w:tr>
        <w:tc>
          <w:tcPr>
            <w:tcW w:w="7508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/>
                <w:sz w:val="28"/>
                <w:szCs w:val="28"/>
              </w:rPr>
              <w:t>Стаття 2. </w:t>
            </w:r>
            <w:r>
              <w:rPr>
                <w:color w:val="000000"/>
                <w:sz w:val="28"/>
                <w:szCs w:val="28"/>
              </w:rPr>
              <w:t>Законодавство України у сфері інноваційної діяльності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5"/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1. Законодавство України у сфері інноваційної діяльності базується на </w:t>
            </w:r>
            <w:hyperlink xmlns:r="http://schemas.openxmlformats.org/officeDocument/2006/relationships" r:id="R2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Конституції України</w:t>
              </w:r>
            </w:hyperlink>
            <w:r>
              <w:rPr>
                <w:color w:val="000000" w:themeColor="text1"/>
                <w:sz w:val="28"/>
                <w:szCs w:val="28"/>
              </w:rPr>
              <w:t> і складається із законів України </w:t>
            </w:r>
            <w:hyperlink xmlns:r="http://schemas.openxmlformats.org/officeDocument/2006/relationships" r:id="R3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інвестиційну діяльність»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4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наукову і науково-технічну діяльність</w:t>
              </w:r>
            </w:hyperlink>
            <w:r>
              <w:rPr>
                <w:color w:val="000000" w:themeColor="text1"/>
                <w:sz w:val="28"/>
                <w:szCs w:val="28"/>
              </w:rPr>
              <w:t>», </w:t>
            </w:r>
            <w:hyperlink xmlns:r="http://schemas.openxmlformats.org/officeDocument/2006/relationships" r:id="R5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наукову і науково-технічну експертизу»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6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спеціальний режим інноваційної діяльності технологічних парків»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7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спеціальну економічну зону «Яворів»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8" w:tgtFrame="_blank">
              <w:r>
                <w:rPr>
                  <w:rStyle w:val="C2"/>
                  <w:i w:val="1"/>
                  <w:color w:val="000000" w:themeColor="text1"/>
                  <w:sz w:val="28"/>
                  <w:szCs w:val="28"/>
                  <w:u w:val="none"/>
                </w:rPr>
                <w:t>«Про пріоритетні напрями інноваційної діяльності в Україні»</w:t>
              </w:r>
            </w:hyperlink>
            <w:r>
              <w:rPr>
                <w:color w:val="000000" w:themeColor="text1"/>
                <w:sz w:val="28"/>
                <w:szCs w:val="28"/>
              </w:rPr>
              <w:t>, цього Закону та інших нормативно-правових актів, що регулюють суспільні відносини у цій сфері.</w:t>
            </w:r>
          </w:p>
        </w:tc>
        <w:tc>
          <w:tcPr>
            <w:tcW w:w="7655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/>
                <w:sz w:val="28"/>
                <w:szCs w:val="28"/>
              </w:rPr>
              <w:t>Стаття 2. </w:t>
            </w:r>
            <w:r>
              <w:rPr>
                <w:color w:val="000000"/>
                <w:sz w:val="28"/>
                <w:szCs w:val="28"/>
              </w:rPr>
              <w:t>Законодавство України у сфері інноваційної діяльності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1. Законодавство України у сфері інноваційної діяльності базується на </w:t>
            </w:r>
            <w:hyperlink xmlns:r="http://schemas.openxmlformats.org/officeDocument/2006/relationships" r:id="R9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Конституції України</w:t>
              </w:r>
            </w:hyperlink>
            <w:r>
              <w:rPr>
                <w:color w:val="000000" w:themeColor="text1"/>
                <w:sz w:val="28"/>
                <w:szCs w:val="28"/>
              </w:rPr>
              <w:t> і складається із законів України </w:t>
            </w:r>
            <w:hyperlink xmlns:r="http://schemas.openxmlformats.org/officeDocument/2006/relationships" r:id="RA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інвестиційну діяльність»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B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наукову і науково-технічну діяльність</w:t>
              </w:r>
            </w:hyperlink>
            <w:r>
              <w:rPr>
                <w:color w:val="000000" w:themeColor="text1"/>
                <w:sz w:val="28"/>
                <w:szCs w:val="28"/>
              </w:rPr>
              <w:t>», </w:t>
            </w:r>
            <w:hyperlink xmlns:r="http://schemas.openxmlformats.org/officeDocument/2006/relationships" r:id="RC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наукову і науково-технічну експертизу»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r>
              <w:rPr>
                <w:b w:val="1"/>
                <w:color w:val="000000"/>
                <w:sz w:val="28"/>
                <w:szCs w:val="28"/>
                <w:shd w:val="clear" w:color="auto" w:fill="FFFFFF"/>
              </w:rPr>
              <w:t>«</w:t>
            </w:r>
            <w:r>
              <w:rPr>
                <w:b w:val="1"/>
                <w:sz w:val="28"/>
                <w:szCs w:val="28"/>
              </w:rPr>
              <w:t>Про основні засади формування та реалізації пріоритетних напрямів наукової, науково-технічної та інноваційної діяльності в Україні»</w:t>
            </w:r>
            <w:r>
              <w:rPr>
                <w:b w:val="1"/>
                <w:color w:val="000000" w:themeColor="text1"/>
                <w:sz w:val="28"/>
                <w:szCs w:val="28"/>
              </w:rPr>
              <w:t xml:space="preserve">, </w:t>
            </w:r>
            <w:hyperlink xmlns:r="http://schemas.openxmlformats.org/officeDocument/2006/relationships" r:id="RD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спеціальний режим інноваційної діяльності технологічних парків»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E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спеціальну економічну зону «Яворів»</w:t>
              </w:r>
            </w:hyperlink>
            <w:r>
              <w:rPr>
                <w:color w:val="000000" w:themeColor="text1"/>
                <w:sz w:val="28"/>
                <w:szCs w:val="28"/>
              </w:rPr>
              <w:t>, цього Закону та інших нормативно-правових актів, що регулюють суспільні відносини у цій сфері.</w:t>
            </w:r>
          </w:p>
        </w:tc>
      </w:tr>
      <w:tr>
        <w:tc>
          <w:tcPr>
            <w:tcW w:w="7508" w:type="dxa"/>
          </w:tcPr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4"/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  <w:t>Стаття 3. 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Мета і принципи державної інноваційної політики</w:t>
            </w: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 Основними принципами державної інноваційної політики є: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i w:val="1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визначення </w:t>
            </w:r>
            <w:r>
              <w:rPr>
                <w:i w:val="1"/>
                <w:color w:val="000000"/>
                <w:sz w:val="28"/>
                <w:szCs w:val="28"/>
              </w:rPr>
              <w:t xml:space="preserve">державних </w:t>
            </w:r>
            <w:r>
              <w:rPr>
                <w:i w:val="1"/>
                <w:iCs w:val="1"/>
                <w:color w:val="000000"/>
                <w:sz w:val="28"/>
                <w:szCs w:val="28"/>
              </w:rPr>
              <w:t>пріоритетів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i w:val="1"/>
                <w:color w:val="000000"/>
                <w:sz w:val="28"/>
                <w:szCs w:val="28"/>
              </w:rPr>
              <w:t>інноваційного розвитку;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5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формування нормативно-правової бази у сфері інноваційної діяльності;</w:t>
            </w:r>
          </w:p>
        </w:tc>
        <w:tc>
          <w:tcPr>
            <w:tcW w:w="7655" w:type="dxa"/>
          </w:tcPr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4"/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  <w:t>Стаття 3. 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Мета і принципи державної інноваційної політики</w:t>
            </w: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2. Основними принципами державної  інноваційної політики є: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5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визначення </w:t>
            </w:r>
            <w:r>
              <w:rPr>
                <w:b w:val="1"/>
                <w:color w:val="000000"/>
                <w:sz w:val="28"/>
                <w:szCs w:val="28"/>
              </w:rPr>
              <w:t>пріоритетних напрямів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b w:val="1"/>
                <w:bCs w:val="1"/>
                <w:sz w:val="28"/>
                <w:szCs w:val="28"/>
              </w:rPr>
              <w:t>наукової, науково-технічної та інноваційної діяльності</w:t>
            </w:r>
            <w:r>
              <w:rPr>
                <w:color w:val="000000"/>
                <w:sz w:val="28"/>
                <w:szCs w:val="28"/>
              </w:rPr>
              <w:t>;</w:t>
            </w:r>
          </w:p>
        </w:tc>
      </w:tr>
      <w:tr>
        <w:tc>
          <w:tcPr>
            <w:tcW w:w="7508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/>
                <w:sz w:val="28"/>
                <w:szCs w:val="28"/>
              </w:rPr>
              <w:t>Стаття 6. </w:t>
            </w:r>
            <w:r>
              <w:rPr>
                <w:color w:val="000000"/>
                <w:sz w:val="28"/>
                <w:szCs w:val="28"/>
              </w:rPr>
              <w:t>Державне регулювання інноваційної діяльності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 Державне регулювання інноваційної діяльності здійснюється шляхом: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i w:val="1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визначення і підтримки</w:t>
            </w:r>
            <w:r>
              <w:rPr>
                <w:i w:val="1"/>
                <w:color w:val="000000"/>
                <w:sz w:val="28"/>
                <w:szCs w:val="28"/>
              </w:rPr>
              <w:t xml:space="preserve"> </w:t>
            </w:r>
            <w:r>
              <w:rPr>
                <w:iCs w:val="1"/>
                <w:color w:val="000000"/>
                <w:sz w:val="28"/>
                <w:szCs w:val="28"/>
              </w:rPr>
              <w:t>пріоритетних напрямів</w:t>
            </w:r>
            <w:r>
              <w:rPr>
                <w:i w:val="1"/>
                <w:color w:val="000000"/>
                <w:sz w:val="28"/>
                <w:szCs w:val="28"/>
              </w:rPr>
              <w:t xml:space="preserve"> інноваційної діяльності;</w:t>
            </w:r>
          </w:p>
        </w:tc>
        <w:tc>
          <w:tcPr>
            <w:tcW w:w="7655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/>
                <w:sz w:val="28"/>
                <w:szCs w:val="28"/>
              </w:rPr>
              <w:t>Стаття 6. </w:t>
            </w:r>
            <w:r>
              <w:rPr>
                <w:color w:val="000000"/>
                <w:sz w:val="28"/>
                <w:szCs w:val="28"/>
              </w:rPr>
              <w:t>Державне регулювання інноваційної діяльності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 Державне регулювання інноваційної діяльності здійснюється шляхом: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визначення і підтримки пріоритетних напрямів </w:t>
            </w:r>
            <w:r>
              <w:rPr>
                <w:b w:val="1"/>
                <w:bCs w:val="1"/>
                <w:sz w:val="28"/>
                <w:szCs w:val="28"/>
              </w:rPr>
              <w:t>наукової, науково-технічної та інноваційної діяльності</w:t>
            </w:r>
            <w:r>
              <w:rPr>
                <w:color w:val="000000"/>
                <w:sz w:val="28"/>
                <w:szCs w:val="28"/>
              </w:rPr>
              <w:t>;</w:t>
            </w:r>
          </w:p>
        </w:tc>
      </w:tr>
      <w:tr>
        <w:tc>
          <w:tcPr>
            <w:tcW w:w="7508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/>
                <w:sz w:val="28"/>
                <w:szCs w:val="28"/>
              </w:rPr>
              <w:t>Стаття 7. </w:t>
            </w:r>
            <w:r>
              <w:rPr>
                <w:color w:val="000000"/>
                <w:sz w:val="28"/>
                <w:szCs w:val="28"/>
              </w:rPr>
              <w:t>Повноваження Верховної Ради України, Верховної Ради Автономної Республіки Крим та органів місцевого самоврядування у сфері інноваційної діяльності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 Верховна Рада України визначає єдину державну політику у сфері інноваційної діяльності, а саме: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створює законодавчу базу для сфери інноваційної діяльності;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i w:val="1"/>
                <w:iCs w:val="1"/>
                <w:color w:val="000000"/>
                <w:sz w:val="28"/>
                <w:szCs w:val="28"/>
              </w:rPr>
            </w:pPr>
            <w:r>
              <w:rPr>
                <w:i w:val="1"/>
                <w:iCs w:val="1"/>
                <w:color w:val="000000"/>
                <w:sz w:val="28"/>
                <w:szCs w:val="28"/>
              </w:rPr>
              <w:t>визначає стратегічні пріоритетні напрями інноваційної діяльності;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i w:val="1"/>
                <w:iCs w:val="1"/>
                <w:color w:val="000000"/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 межах Державного бюджету України визначає обсяг асигнувань для фінансової підтримки інноваційної діяльності.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 Верховна Рада Автономної Республіки Крим, обласні і районні ради відповідно до їх компетенції: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затверджують </w:t>
            </w:r>
            <w:r>
              <w:rPr>
                <w:b w:val="1"/>
                <w:i w:val="1"/>
                <w:bCs w:val="1"/>
                <w:strike w:val="1"/>
                <w:color w:val="000000"/>
                <w:sz w:val="28"/>
                <w:szCs w:val="28"/>
              </w:rPr>
              <w:t>середньострокові пріоритетні напрями інноваційної діяльності регіонального рівня та</w:t>
            </w:r>
            <w:r>
              <w:rPr>
                <w:color w:val="000000"/>
                <w:sz w:val="28"/>
                <w:szCs w:val="28"/>
              </w:rPr>
              <w:t xml:space="preserve"> регіональні інноваційні програми, що кредитуються з бюджету Автономної Республіки Крим, обласних і районних бюджетів;</w:t>
            </w:r>
          </w:p>
        </w:tc>
        <w:tc>
          <w:tcPr>
            <w:tcW w:w="7655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/>
                <w:sz w:val="28"/>
                <w:szCs w:val="28"/>
              </w:rPr>
              <w:t>Стаття 7. </w:t>
            </w:r>
            <w:r>
              <w:rPr>
                <w:color w:val="000000"/>
                <w:sz w:val="28"/>
                <w:szCs w:val="28"/>
              </w:rPr>
              <w:t>Повноваження Верховної Ради України, Верховної Ради Автономної Республіки Крим та органів місцевого самоврядування у сфері інноваційної діяльності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 Верховна Рада України визначає єдину державну політику у сфері інноваційної діяльності, а саме: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створює законодавчу базу для сфери інноваційної діяльності;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6"/>
                <w:i w:val="1"/>
                <w:iCs w:val="1"/>
                <w:color w:val="000000"/>
                <w:sz w:val="28"/>
                <w:szCs w:val="28"/>
              </w:rPr>
            </w:pPr>
            <w:r>
              <w:rPr>
                <w:b w:val="1"/>
                <w:bCs w:val="1"/>
                <w:sz w:val="28"/>
                <w:szCs w:val="28"/>
              </w:rPr>
              <w:t>визначає основні засади формування та реалізації пріоритетних напрямів наукової, науково-технічної та інноваційної діяльності</w:t>
            </w:r>
            <w:r>
              <w:rPr>
                <w:b w:val="1"/>
                <w:color w:val="000000"/>
                <w:sz w:val="28"/>
                <w:szCs w:val="28"/>
              </w:rPr>
              <w:t>;</w:t>
            </w:r>
            <w:r>
              <w:rPr>
                <w:rStyle w:val="C6"/>
                <w:i w:val="1"/>
                <w:iCs w:val="1"/>
                <w:color w:val="000000"/>
                <w:sz w:val="28"/>
                <w:szCs w:val="28"/>
              </w:rPr>
              <w:t xml:space="preserve"> 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 межах Державного бюджету України визначає обсяг асигнувань для фінансової підтримки інноваційної діяльності.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 Верховна Рада Автономної Республіки Крим, обласні і районні ради відповідно до їх компетенції: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затверджують регіональні інноваційні програми, що кредитуються з бюджету Автономної Республіки Крим, обласних і районних бюджетів;</w:t>
            </w:r>
          </w:p>
        </w:tc>
      </w:tr>
      <w:tr>
        <w:tc>
          <w:tcPr>
            <w:tcW w:w="7508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/>
                <w:sz w:val="28"/>
                <w:szCs w:val="28"/>
              </w:rPr>
              <w:t>Стаття 8. </w:t>
            </w:r>
            <w:r>
              <w:rPr>
                <w:color w:val="000000"/>
                <w:sz w:val="28"/>
                <w:szCs w:val="28"/>
              </w:rPr>
              <w:t>Повноваження Кабінету Міністрів України у сфері інноваційної діяльності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 Кабінет Міністрів України: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здійснює державне управління та забезпечує реалізацію державної політики у сфері інноваційної діяльності;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готує та подає Верховній Раді України пропозиції щодо стратегічних пріоритетних напрямів інноваційної діяльності та затверджує середньострокові пріоритетні напрями інноваційної діяльності загальнодержавного і галузевого рівнів;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здійснює заходи щодо реалізації пріоритетних напрямів </w:t>
            </w:r>
            <w:r>
              <w:rPr>
                <w:i w:val="1"/>
                <w:iCs w:val="1"/>
                <w:color w:val="000000"/>
                <w:sz w:val="28"/>
                <w:szCs w:val="28"/>
              </w:rPr>
              <w:t>інноваційної діяльності</w:t>
            </w:r>
            <w:r>
              <w:rPr>
                <w:color w:val="000000"/>
                <w:sz w:val="28"/>
                <w:szCs w:val="28"/>
              </w:rPr>
              <w:t>;</w:t>
            </w:r>
          </w:p>
        </w:tc>
        <w:tc>
          <w:tcPr>
            <w:tcW w:w="7655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/>
                <w:sz w:val="28"/>
                <w:szCs w:val="28"/>
              </w:rPr>
              <w:t>Стаття 8. </w:t>
            </w:r>
            <w:r>
              <w:rPr>
                <w:color w:val="000000"/>
                <w:sz w:val="28"/>
                <w:szCs w:val="28"/>
              </w:rPr>
              <w:t>Повноваження Кабінету Міністрів України у сфері інноваційної діяльності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 Кабінет Міністрів України: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здійснює державне управління та забезпечує реалізацію державної політики у сфері інноваційної діяльності;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sz w:val="28"/>
                <w:szCs w:val="28"/>
              </w:rPr>
            </w:pPr>
            <w:r>
              <w:rPr>
                <w:b w:val="1"/>
                <w:bCs w:val="1"/>
                <w:sz w:val="28"/>
                <w:szCs w:val="28"/>
              </w:rPr>
              <w:t>затверджує перелік пріоритетних напрямів наукової, науково-технічної та інноваційної діяльності</w:t>
            </w:r>
            <w:r>
              <w:rPr>
                <w:b w:val="1"/>
                <w:color w:val="000000"/>
                <w:sz w:val="28"/>
                <w:szCs w:val="28"/>
              </w:rPr>
              <w:t>;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6"/>
                <w:i w:val="1"/>
                <w:iCs w:val="1"/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здійснює заходи щодо реалізації пріоритетних напрямів </w:t>
            </w:r>
            <w:r>
              <w:rPr>
                <w:b w:val="1"/>
                <w:bCs w:val="1"/>
                <w:sz w:val="28"/>
                <w:szCs w:val="28"/>
              </w:rPr>
              <w:t>наукової, науково-технічної та інноваційної діяльності та їх коригування за результатами реалізації</w:t>
            </w:r>
            <w:r>
              <w:rPr>
                <w:b w:val="1"/>
                <w:color w:val="000000"/>
                <w:sz w:val="28"/>
                <w:szCs w:val="28"/>
              </w:rPr>
              <w:t>;</w:t>
            </w:r>
          </w:p>
        </w:tc>
      </w:tr>
      <w:tr>
        <w:tc>
          <w:tcPr>
            <w:tcW w:w="7508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/>
                <w:sz w:val="28"/>
                <w:szCs w:val="28"/>
              </w:rPr>
              <w:t>Стаття 9. </w:t>
            </w:r>
            <w:r>
              <w:rPr>
                <w:color w:val="000000"/>
                <w:sz w:val="28"/>
                <w:szCs w:val="28"/>
              </w:rPr>
              <w:t>Повноваження центральних органів виконавчої влади у сфері інноваційної діяльності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 Центральний орган виконавчої влади, що забезпечує формування державної політики у сфері інновацій: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подає Кабінету Міністрів України пропозиції щодо </w:t>
            </w:r>
            <w:r>
              <w:rPr>
                <w:b w:val="1"/>
                <w:bCs w:val="1"/>
                <w:iCs w:val="1"/>
                <w:strike w:val="1"/>
                <w:color w:val="000000"/>
                <w:sz w:val="28"/>
                <w:szCs w:val="28"/>
              </w:rPr>
              <w:t>стратегічних пріоритетних напрямів інноваційної діяльності, середньострокових пріоритетних напрямів інноваційної діяльності загальнодержавного рівня</w:t>
            </w:r>
            <w:r>
              <w:rPr>
                <w:i w:val="1"/>
                <w:color w:val="000000"/>
                <w:sz w:val="28"/>
                <w:szCs w:val="28"/>
              </w:rPr>
              <w:t>,</w:t>
            </w:r>
            <w:r>
              <w:rPr>
                <w:color w:val="000000"/>
                <w:sz w:val="28"/>
                <w:szCs w:val="28"/>
              </w:rPr>
              <w:t xml:space="preserve"> державних інноваційних програм, а також стосовно необхідних обсягів бюджетних коштів для їх кредитування;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 Центральний орган виконавчої влади, що реалізує державну політику у сфері науково-технічної та інноваційної діяльності: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готує пропозиції щодо визначення пріоритетних напрямів розвитку інноваційної діяльності;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 Інші центральні органи виконавчої влади: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i w:val="1"/>
                <w:color w:val="000000"/>
                <w:sz w:val="28"/>
                <w:szCs w:val="28"/>
              </w:rPr>
            </w:pPr>
            <w:r>
              <w:rPr>
                <w:i w:val="1"/>
                <w:color w:val="000000"/>
                <w:sz w:val="28"/>
                <w:szCs w:val="28"/>
              </w:rPr>
              <w:t>готують та подають у встановленому порядку відповідно до компетенції пропозиції щодо середньострокових пріоритетних напрямів інноваційної діяльності галузевого рівня;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i w:val="1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доручають державним інноваційним фінансово-кредитним установам проведення конкурсного відбору пріоритетних інноваційних проектів</w:t>
            </w:r>
            <w:r>
              <w:rPr>
                <w:i w:val="1"/>
                <w:strike w:val="1"/>
                <w:sz w:val="28"/>
                <w:szCs w:val="28"/>
                <w:shd w:val="clear" w:color="auto" w:fill="FFFFFF"/>
              </w:rPr>
              <w:t>, що реалізуються в рамках середньострокових пріоритетних напрямів галузевого рівня,</w:t>
            </w:r>
            <w:r>
              <w:rPr>
                <w:sz w:val="28"/>
                <w:szCs w:val="28"/>
                <w:shd w:val="clear" w:color="auto" w:fill="FFFFFF"/>
              </w:rPr>
              <w:t xml:space="preserve"> і здійснення фінансової підтримки цих проектів у межах коштів, передбачених законом про Державний бюджет України на відповідний рік;</w:t>
            </w:r>
          </w:p>
        </w:tc>
        <w:tc>
          <w:tcPr>
            <w:tcW w:w="7655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/>
                <w:sz w:val="28"/>
                <w:szCs w:val="28"/>
              </w:rPr>
              <w:t>Стаття 9. </w:t>
            </w:r>
            <w:r>
              <w:rPr>
                <w:color w:val="000000"/>
                <w:sz w:val="28"/>
                <w:szCs w:val="28"/>
              </w:rPr>
              <w:t>Повноваження центральних органів виконавчої влади у сфері інноваційної діяльності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 Центральний орган виконавчої влади, що забезпечує формування державної політики у сфері інновацій: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 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подає Кабінету Міністрів України пропозиції щодо державних інноваційних програм, а також стосовно необхідних обсягів бюджетних коштів для їх кредитування;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 Центральний орган виконавчої влади, що реалізує державну політику у сфері науково-технічної та інноваційної діяльності: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b w:val="1"/>
                <w:color w:val="000000"/>
                <w:sz w:val="28"/>
                <w:szCs w:val="28"/>
              </w:rPr>
            </w:pPr>
            <w:r>
              <w:rPr>
                <w:b w:val="1"/>
                <w:color w:val="000000"/>
                <w:sz w:val="28"/>
                <w:szCs w:val="28"/>
              </w:rPr>
              <w:t xml:space="preserve">готує та подає на розгляд Кабінету Міністрів України пропозиції щодо переліку пріоритетних напрямів наукової, науково-технічної та інноваційної діяльності, </w:t>
            </w:r>
            <w:r>
              <w:rPr>
                <w:b w:val="1"/>
                <w:sz w:val="28"/>
                <w:szCs w:val="28"/>
              </w:rPr>
              <w:t>забезпечує моніторинг їх реалізації та підготовку</w:t>
            </w:r>
            <w:r>
              <w:rPr>
                <w:b w:val="1"/>
                <w:color w:val="000000"/>
                <w:sz w:val="28"/>
                <w:szCs w:val="28"/>
              </w:rPr>
              <w:t xml:space="preserve"> пропозицій щодо їх коригування за результатами реалізації;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 Інші центральні органи виконавчої влади: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b w:val="1"/>
                <w:color w:val="000000"/>
                <w:sz w:val="28"/>
                <w:szCs w:val="28"/>
              </w:rPr>
            </w:pPr>
            <w:r>
              <w:rPr>
                <w:b w:val="1"/>
                <w:sz w:val="28"/>
                <w:szCs w:val="28"/>
              </w:rPr>
              <w:t>беруть участь у визначенні пріоритетних напрямів наукової, науково-технічної та інноваційної діяльності в Україні</w:t>
            </w:r>
            <w:r>
              <w:rPr>
                <w:b w:val="1"/>
                <w:color w:val="000000"/>
                <w:sz w:val="28"/>
                <w:szCs w:val="28"/>
              </w:rPr>
              <w:t>;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/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/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доручають державним інноваційним фінансово-кредитним установам проведення конкурсного відбору пріоритетних інноваційних проектів і здійснення фінансової підтримки цих проектів у межах коштів, передбачених законом про Державний бюджет України на відповідний рік;</w:t>
            </w:r>
          </w:p>
        </w:tc>
      </w:tr>
      <w:tr>
        <w:tc>
          <w:tcPr>
            <w:tcW w:w="7508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/>
                <w:sz w:val="28"/>
                <w:szCs w:val="28"/>
              </w:rPr>
              <w:t>Стаття 10. </w:t>
            </w:r>
            <w:r>
              <w:rPr>
                <w:color w:val="000000"/>
                <w:sz w:val="28"/>
                <w:szCs w:val="28"/>
              </w:rPr>
              <w:t>Повноваження Ради міністрів Автономної Республіки Крим, місцевих державних адміністрацій, виконавчих органів місцевого самоврядування у сфері інноваційної діяльності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 Рада міністрів Автономної Республіки Крим, місцеві державні адміністрації (у межах делегованих їм органами місцевого самоврядування повноважень) відповідно до їх компетенції: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i w:val="1"/>
                <w:color w:val="000000"/>
                <w:sz w:val="28"/>
                <w:szCs w:val="28"/>
              </w:rPr>
            </w:pPr>
            <w:r>
              <w:rPr>
                <w:i w:val="1"/>
                <w:color w:val="000000"/>
                <w:sz w:val="28"/>
                <w:szCs w:val="28"/>
              </w:rPr>
              <w:t>готують та подають Верховній Раді Автономної Республіки Крим, відповідним радам пропозиції щодо середньострокових пріоритетних напрямів інноваційної діяльності регіонального рівня;</w:t>
            </w:r>
          </w:p>
        </w:tc>
        <w:tc>
          <w:tcPr>
            <w:tcW w:w="7655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/>
                <w:sz w:val="28"/>
                <w:szCs w:val="28"/>
              </w:rPr>
              <w:t>Стаття 10. </w:t>
            </w:r>
            <w:r>
              <w:rPr>
                <w:color w:val="000000"/>
                <w:sz w:val="28"/>
                <w:szCs w:val="28"/>
              </w:rPr>
              <w:t>Повноваження Ради міністрів Автономної Республіки Крим, місцевих державних адміністрацій, виконавчих органів місцевого самоврядування у сфері інноваційної діяльності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 Рада міністрів Автономної Республіки Крим, місцеві державні адміністрації (у межах делегованих їм органами місцевого самоврядування повноважень) відповідно до їх компетенції: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b w:val="1"/>
                <w:i w:val="1"/>
                <w:color w:val="000000"/>
                <w:sz w:val="28"/>
                <w:szCs w:val="28"/>
              </w:rPr>
            </w:pPr>
            <w:r>
              <w:rPr>
                <w:b w:val="1"/>
                <w:i w:val="1"/>
                <w:color w:val="000000"/>
                <w:sz w:val="28"/>
                <w:szCs w:val="28"/>
              </w:rPr>
              <w:t>Виключено.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i w:val="1"/>
                <w:bCs w:val="1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>
        <w:tc>
          <w:tcPr>
            <w:tcW w:w="7508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4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  <w:t>Стаття 13. 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Державна реєстрація інноваційних проектів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6. Проекти, що визнані за результатами експертизи інноваційними, заносяться центральним органом виконавчої влади, що реалізує державну політику у сфері інноваційної діяльності, до Державного реєстру інноваційних проектів.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Інноваційні проекти </w:t>
            </w:r>
            <w:r>
              <w:rPr>
                <w:i w:val="1"/>
                <w:iCs w:val="1"/>
                <w:color w:val="000000" w:themeColor="text1"/>
                <w:sz w:val="28"/>
                <w:szCs w:val="28"/>
                <w:shd w:val="clear" w:color="auto" w:fill="FFFFFF"/>
              </w:rPr>
              <w:t>з пріоритетних напрямів інноваційної діяльності</w:t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визнаються центральним органом виконавчої влади, що реалізує державну політику у сфері інноваційної діяльності, пріоритетними інноваційними проектами.</w:t>
            </w:r>
          </w:p>
        </w:tc>
        <w:tc>
          <w:tcPr>
            <w:tcW w:w="7655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4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  <w:t>Стаття 13. 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Державна реєстрація інноваційних проектів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6. Проекти, що визнані за результатами експертизи інноваційними, заносяться центральним органом виконавчої влади, що реалізує державну політику у сфері інноваційної діяльності, до Державного реєстру інноваційних проектів.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Інноваційні проекти, </w:t>
            </w:r>
            <w:r>
              <w:rPr>
                <w:b w:val="1"/>
                <w:bCs w:val="1"/>
                <w:sz w:val="28"/>
                <w:szCs w:val="28"/>
              </w:rPr>
              <w:t>що реалізується в рамках пріоритетних напрямів наукової, науково-технічної та інноваційної діяльності,</w:t>
            </w:r>
            <w:r>
              <w:rPr>
                <w:sz w:val="28"/>
                <w:szCs w:val="28"/>
              </w:rPr>
              <w:t xml:space="preserve"> визнаються центральним органом виконавчої влади, що реалізує державну політику у сфері інноваційної діяльності, пріоритетними інноваційними проектами.</w:t>
            </w:r>
          </w:p>
        </w:tc>
      </w:tr>
      <w:tr>
        <w:tc>
          <w:tcPr>
            <w:tcW w:w="15163" w:type="dxa"/>
            <w:gridSpan w:val="2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center"/>
              <w:rPr>
                <w:rStyle w:val="C4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 w:val="1"/>
                <w:sz w:val="28"/>
                <w:szCs w:val="28"/>
              </w:rPr>
              <w:t>Закон України «Про спеціальний режим інноваційної діяльності технологічних парків»</w:t>
            </w:r>
          </w:p>
        </w:tc>
      </w:tr>
      <w:tr>
        <w:tc>
          <w:tcPr>
            <w:tcW w:w="7508" w:type="dxa"/>
          </w:tcPr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1"/>
                <w:sz w:val="28"/>
                <w:szCs w:val="28"/>
              </w:rPr>
              <w:t xml:space="preserve">Стаття 1.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Терміни, які вживаються в цьому Законі </w:t>
            </w: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цілей цього Закону терміни вживаються в такому значенні:</w:t>
            </w: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8) пріоритетні напрями діяльності технологічного парку – економічно і соціально зумовлені напрями науково-технічної та інноваційної діяльності технологічного парку, що  відповідають визначеним законодавством </w:t>
            </w:r>
            <w:r>
              <w:rPr>
                <w:rFonts w:ascii="Times New Roman" w:hAnsi="Times New Roman"/>
                <w:i w:val="1"/>
                <w:sz w:val="28"/>
                <w:szCs w:val="28"/>
              </w:rPr>
              <w:t>науково-технічним та інноваційним пріоритетам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і спрямовані на    промислове виробництво конкурентоспроможної високотехнологічної та інноваційної продукції і насичення нею внутрішнього ринку та забезпечення експортного потенціалу держави.</w:t>
            </w:r>
          </w:p>
        </w:tc>
        <w:tc>
          <w:tcPr>
            <w:tcW w:w="7655" w:type="dxa"/>
          </w:tcPr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1"/>
                <w:sz w:val="28"/>
                <w:szCs w:val="28"/>
              </w:rPr>
              <w:t xml:space="preserve">Стаття 1.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Терміни, які вживаються в цьому Законі </w:t>
            </w: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цілей цього Закону терміни вживаються в такому значенні:</w:t>
            </w: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 xml:space="preserve">8) пріоритетні напрями діяльності технологічного парку - економічно і соціально зумовлені напрями науково-технічної та інноваційної діяльності технологічного парку, що  відповідають визначеним законодавством </w:t>
            </w:r>
            <w:r>
              <w:rPr>
                <w:b w:val="1"/>
                <w:bCs w:val="1"/>
                <w:sz w:val="28"/>
                <w:szCs w:val="28"/>
              </w:rPr>
              <w:t>пріоритетним напрямам наукової, науково-технічної та інноваційної діяльності</w:t>
            </w:r>
            <w:r>
              <w:rPr>
                <w:sz w:val="28"/>
                <w:szCs w:val="28"/>
              </w:rPr>
              <w:t xml:space="preserve"> і спрямовані на промислове виробництво конкурентоспроможної високотехнологічної та інноваційної продукції і насичення нею внутрішнього ринку та  забезпечення експортного потенціалу держави.</w:t>
            </w:r>
          </w:p>
        </w:tc>
      </w:tr>
      <w:tr>
        <w:tc>
          <w:tcPr>
            <w:tcW w:w="7508" w:type="dxa"/>
          </w:tcPr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1"/>
                <w:sz w:val="28"/>
                <w:szCs w:val="28"/>
              </w:rPr>
              <w:t>Стаття 5.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Проекти технологічних парків </w:t>
            </w: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Проекти технологічних парків, реалізація яких здійснюється згідно з вимогами цього Закону, розробляються відповідно до пріоритетних напрямів діяльності технологічних парків. Пріоритетні напрями діяльності для кожного з технологічних парків розробляються відповідно до </w:t>
            </w:r>
            <w:r>
              <w:rPr>
                <w:rFonts w:ascii="Times New Roman" w:hAnsi="Times New Roman"/>
                <w:i w:val="1"/>
                <w:sz w:val="28"/>
                <w:szCs w:val="28"/>
              </w:rPr>
              <w:t>законів України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 w:val="1"/>
                <w:sz w:val="28"/>
                <w:szCs w:val="28"/>
              </w:rPr>
              <w:t>"Про пріоритетні напрями розвитку науки і техніки" ( 2623-14 ) та "Про пріоритетні напрями інноваційної діяльності в Україні" ( 433-15)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розглядаються Президією Національної  академії наук України та затверджуються центральним органом виконавчої влади, що забезпечує формування державної політики у сфері науки.</w:t>
            </w:r>
          </w:p>
        </w:tc>
        <w:tc>
          <w:tcPr>
            <w:tcW w:w="7655" w:type="dxa"/>
          </w:tcPr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1"/>
                <w:sz w:val="28"/>
                <w:szCs w:val="28"/>
              </w:rPr>
              <w:t>Стаття 5.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Проекти технологічних парків.</w:t>
            </w: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Проекти технологічних парків, реалізація яких здійснюється згідно з вимогами цього Закону, розробляються  відповідно  до пріоритетних напрямів діяльності технологічних парків. Пріоритетні напрями діяльності для кожного з технологічних парків розробляються відповідно до </w:t>
            </w:r>
            <w:r>
              <w:rPr>
                <w:rFonts w:ascii="Times New Roman" w:hAnsi="Times New Roman"/>
                <w:b w:val="1"/>
                <w:bCs w:val="1"/>
                <w:sz w:val="28"/>
              </w:rPr>
              <w:t xml:space="preserve">законодавчо визначених 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</w:rPr>
              <w:t>пріоритетних напрямів наукової, науково-технічної та інноваційної діяльності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розглядаються Президією  Національної академії наук України та затверджуються центральним органом виконавчої влади, що забезпечує формування державної політики у сфері науки. </w:t>
            </w:r>
          </w:p>
        </w:tc>
      </w:tr>
      <w:tr>
        <w:tc>
          <w:tcPr>
            <w:tcW w:w="15163" w:type="dxa"/>
            <w:gridSpan w:val="2"/>
          </w:tcPr>
          <w:p>
            <w:pPr>
              <w:ind w:firstLine="589"/>
              <w:contextualSpacing w:val="1"/>
              <w:jc w:val="center"/>
              <w:rPr>
                <w:rFonts w:ascii="Times New Roman" w:hAnsi="Times New Roman"/>
                <w:b w:val="1"/>
                <w:sz w:val="28"/>
                <w:szCs w:val="28"/>
              </w:rPr>
            </w:pPr>
            <w:r>
              <w:rPr>
                <w:rFonts w:ascii="Times New Roman" w:hAnsi="Times New Roman"/>
                <w:b w:val="1"/>
                <w:sz w:val="28"/>
                <w:szCs w:val="28"/>
              </w:rPr>
              <w:t>Закон України «Про наукові парки»</w:t>
            </w:r>
          </w:p>
        </w:tc>
      </w:tr>
      <w:tr>
        <w:tc>
          <w:tcPr>
            <w:tcW w:w="7508" w:type="dxa"/>
          </w:tcPr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Style w:val="C4"/>
                <w:rFonts w:ascii="Times New Roman" w:hAnsi="Times New Roman"/>
                <w:b w:val="1"/>
                <w:bCs w:val="1"/>
                <w:sz w:val="28"/>
                <w:szCs w:val="28"/>
                <w:shd w:val="clear" w:color="auto" w:fill="FFFFFF"/>
              </w:rPr>
              <w:t>Стаття 1.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Визначення термінів</w:t>
            </w: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…</w:t>
            </w: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пріоритетні напрями діяльності наукового парку - економічно і соціально зумовлені наукові, науково-технічні та інноваційні напрями діяльності, що відповідають меті створення наукового парку, галузевому профілю та/або спеціалізації закладу вищої освіти та/або наукової установи - засновників (учасників, акціонерів) та можуть враховувати потреби регіону (території), в якому створено науковий парк, і пріоритетні напрями діяльності, визначені </w:t>
            </w:r>
            <w:r>
              <w:rPr>
                <w:rFonts w:ascii="Times New Roman" w:hAnsi="Times New Roman"/>
                <w:i w:val="1"/>
                <w:sz w:val="28"/>
                <w:szCs w:val="28"/>
                <w:shd w:val="clear" w:color="auto" w:fill="FFFFFF"/>
              </w:rPr>
              <w:t>законами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України в науковій, науково-технічній та інноваційній сферах;</w:t>
            </w: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b w:val="1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…</w:t>
            </w:r>
          </w:p>
        </w:tc>
        <w:tc>
          <w:tcPr>
            <w:tcW w:w="7655" w:type="dxa"/>
          </w:tcPr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Style w:val="C4"/>
                <w:rFonts w:ascii="Times New Roman" w:hAnsi="Times New Roman"/>
                <w:b w:val="1"/>
                <w:bCs w:val="1"/>
                <w:sz w:val="28"/>
                <w:szCs w:val="28"/>
                <w:shd w:val="clear" w:color="auto" w:fill="FFFFFF"/>
              </w:rPr>
              <w:t>Стаття 1.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Визначення термінів</w:t>
            </w: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…</w:t>
            </w: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b w:val="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пріоритетні напрями діяльності наукового парку - економічно і соціально зумовлені наукові, науково-технічні та інноваційні напрями діяльності, що відповідають меті створення наукового парку, галузевому профілю та/або спеціалізації закладу вищої освіти та/або наукової установи - засновників (учасників, акціонерів) та можуть враховувати потреби регіону (території), в якому створено науковий парк, і пріоритетні напрями діяльності, визначені </w:t>
            </w:r>
            <w:r>
              <w:rPr>
                <w:rFonts w:ascii="Times New Roman" w:hAnsi="Times New Roman"/>
                <w:b w:val="1"/>
                <w:sz w:val="28"/>
                <w:szCs w:val="28"/>
              </w:rPr>
              <w:t>відповідно до Закону України «Про основні засади формування та реалізації пріоритетних напрямів наукової, науково-технічної та інноваційної діяльності в Україні» та інших законодавчих актів</w:t>
            </w:r>
            <w:r>
              <w:rPr>
                <w:rFonts w:ascii="Times New Roman" w:hAnsi="Times New Roman"/>
                <w:b w:val="1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України в науковій, науково-технічній та інноваційній сферах;</w:t>
            </w: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…</w:t>
            </w:r>
          </w:p>
        </w:tc>
      </w:tr>
      <w:tr>
        <w:tc>
          <w:tcPr>
            <w:tcW w:w="15163" w:type="dxa"/>
            <w:gridSpan w:val="2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450"/>
              <w:contextualSpacing w:val="1"/>
              <w:jc w:val="center"/>
              <w:rPr>
                <w:rStyle w:val="C4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4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  <w:t>Закон України «Про державне регулювання діяльності у сфері трансферу технологій»</w:t>
            </w:r>
          </w:p>
        </w:tc>
      </w:tr>
      <w:tr>
        <w:tc>
          <w:tcPr>
            <w:tcW w:w="7508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 w:themeColor="text1"/>
                <w:sz w:val="28"/>
                <w:szCs w:val="28"/>
              </w:rPr>
              <w:t>Стаття 2.</w:t>
            </w:r>
            <w:r>
              <w:rPr>
                <w:color w:val="000000" w:themeColor="text1"/>
                <w:sz w:val="28"/>
                <w:szCs w:val="28"/>
              </w:rPr>
              <w:t> Законодавство про державне регулювання діяльності у сфері трансферу технологій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1. Законодавство про державне регулювання діяльності у сфері трансферу технологій базується на </w:t>
            </w:r>
            <w:hyperlink xmlns:r="http://schemas.openxmlformats.org/officeDocument/2006/relationships" r:id="RF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Конституції України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10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Цивільному кодексі України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11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Господарському кодексі України</w:t>
              </w:r>
            </w:hyperlink>
            <w:r>
              <w:rPr>
                <w:color w:val="000000" w:themeColor="text1"/>
                <w:sz w:val="28"/>
                <w:szCs w:val="28"/>
              </w:rPr>
              <w:t>, цьому Законі, законах України </w:t>
            </w:r>
            <w:hyperlink xmlns:r="http://schemas.openxmlformats.org/officeDocument/2006/relationships" r:id="R12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зовнішньоекономічну діяльність»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13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</w:t>
              </w:r>
              <w:r>
                <w:rPr>
                  <w:rStyle w:val="C2"/>
                  <w:i w:val="1"/>
                  <w:color w:val="000000" w:themeColor="text1"/>
                  <w:sz w:val="28"/>
                  <w:szCs w:val="28"/>
                  <w:u w:val="none"/>
                </w:rPr>
                <w:t>Про пріоритетні напрями розвитку науки і техніки»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14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</w:t>
              </w:r>
              <w:r>
                <w:rPr>
                  <w:rStyle w:val="C2"/>
                  <w:i w:val="1"/>
                  <w:color w:val="000000" w:themeColor="text1"/>
                  <w:sz w:val="28"/>
                  <w:szCs w:val="28"/>
                  <w:u w:val="none"/>
                </w:rPr>
                <w:t>Про пріоритетні напрями інноваційної діяльності в Україні»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15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наукову і науково-технічну експертизу»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16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наукову і науково-технічну діяльність»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17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інноваційну діяльність»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18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охорону прав на винаходи і корисні моделі»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19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охорону прав на промислові зразки»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1A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охорону прав на топографії інтегральних мікросхем»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1B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авторське право і суміжні права»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1C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фінансовий лізинг»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1D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державний контроль за міжнародними передачами товарів військового призначення та подвійного використання»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1E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охорону прав на сорти рослин»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1F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охорону прав на знаки для товарів і послуг»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20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захист від недобросовісної конкуренції»</w:t>
              </w:r>
            </w:hyperlink>
            <w:r>
              <w:rPr>
                <w:color w:val="000000" w:themeColor="text1"/>
                <w:sz w:val="28"/>
                <w:szCs w:val="28"/>
              </w:rPr>
              <w:t>, інших нормативно-правових актах, а також чинних міжнародних договорах України, згода на обов'язковість яких надана Верховною Радою України, у сфері науково-технічного співробітництва, інноваційної діяльності, трансферу технологій.</w:t>
            </w:r>
          </w:p>
        </w:tc>
        <w:tc>
          <w:tcPr>
            <w:tcW w:w="7655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 w:themeColor="text1"/>
                <w:sz w:val="28"/>
                <w:szCs w:val="28"/>
              </w:rPr>
              <w:t>Стаття 2.</w:t>
            </w:r>
            <w:r>
              <w:rPr>
                <w:color w:val="000000" w:themeColor="text1"/>
                <w:sz w:val="28"/>
                <w:szCs w:val="28"/>
              </w:rPr>
              <w:t> Законодавство про державне регулювання діяльності у сфері трансферу технологій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1. Законодавство про державне регулювання діяльності у сфері трансферу технологій базується на </w:t>
            </w:r>
            <w:hyperlink xmlns:r="http://schemas.openxmlformats.org/officeDocument/2006/relationships" r:id="R21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Конституції України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22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Цивільному кодексі України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23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Господарському кодексі України</w:t>
              </w:r>
            </w:hyperlink>
            <w:r>
              <w:rPr>
                <w:color w:val="000000" w:themeColor="text1"/>
                <w:sz w:val="28"/>
                <w:szCs w:val="28"/>
              </w:rPr>
              <w:t>, цьому Законі, законах України </w:t>
            </w:r>
            <w:hyperlink xmlns:r="http://schemas.openxmlformats.org/officeDocument/2006/relationships" r:id="R24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зовнішньоекономічну діяльність»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r>
              <w:rPr>
                <w:b w:val="1"/>
                <w:color w:val="000000"/>
                <w:sz w:val="28"/>
                <w:szCs w:val="28"/>
                <w:shd w:val="clear" w:color="auto" w:fill="FFFFFF"/>
              </w:rPr>
              <w:t>«</w:t>
            </w:r>
            <w:r>
              <w:rPr>
                <w:b w:val="1"/>
                <w:sz w:val="28"/>
                <w:szCs w:val="28"/>
              </w:rPr>
              <w:t>Про основні засади формування та реалізації пріоритетних напрямів наукової, науково-технічної та інноваційної діяльності в Україні»</w:t>
            </w:r>
            <w:r>
              <w:rPr>
                <w:b w:val="1"/>
                <w:color w:val="000000" w:themeColor="text1"/>
                <w:sz w:val="28"/>
                <w:szCs w:val="28"/>
              </w:rPr>
              <w:t xml:space="preserve">, </w:t>
            </w:r>
            <w:hyperlink xmlns:r="http://schemas.openxmlformats.org/officeDocument/2006/relationships" r:id="R25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наукову і науково-технічну експертизу»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26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наукову і науково-технічну діяльність»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27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інноваційну діяльність»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28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охорону прав на винаходи і корисні моделі»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29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охорону прав на промислові зразки»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2A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охорону прав на топографії інтегральних мікросхем»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2B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авторське право і суміжні права»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2C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фінансовий лізинг»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2D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державний контроль за міжнародними передачами товарів військового призначення та подвійного використання»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2E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охорону прав на сорти рослин»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2F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охорону прав на знаки для товарів і послуг»</w:t>
              </w:r>
            </w:hyperlink>
            <w:r>
              <w:rPr>
                <w:color w:val="000000" w:themeColor="text1"/>
                <w:sz w:val="28"/>
                <w:szCs w:val="28"/>
              </w:rPr>
              <w:t>, </w:t>
            </w:r>
            <w:hyperlink xmlns:r="http://schemas.openxmlformats.org/officeDocument/2006/relationships" r:id="R30" w:tgtFrame="_blank">
              <w:r>
                <w:rPr>
                  <w:rStyle w:val="C2"/>
                  <w:color w:val="000000" w:themeColor="text1"/>
                  <w:sz w:val="28"/>
                  <w:szCs w:val="28"/>
                  <w:u w:val="none"/>
                </w:rPr>
                <w:t>«Про захист від недобросовісної конкуренції»</w:t>
              </w:r>
            </w:hyperlink>
            <w:r>
              <w:rPr>
                <w:color w:val="000000" w:themeColor="text1"/>
                <w:sz w:val="28"/>
                <w:szCs w:val="28"/>
              </w:rPr>
              <w:t>, інших нормативно-правових актах, а також чинних міжнародних договорах України, згода на обов'язковість яких надана Верховною Радою України, у сфері науково-технічного співробітництва, інноваційної діяльності, трансферу технологій.</w:t>
            </w:r>
          </w:p>
        </w:tc>
      </w:tr>
      <w:tr>
        <w:tc>
          <w:tcPr>
            <w:tcW w:w="7508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 w:themeColor="text1"/>
                <w:sz w:val="28"/>
                <w:szCs w:val="28"/>
              </w:rPr>
              <w:t>Стаття 24.</w:t>
            </w:r>
            <w:r>
              <w:rPr>
                <w:color w:val="000000" w:themeColor="text1"/>
                <w:sz w:val="28"/>
                <w:szCs w:val="28"/>
              </w:rPr>
              <w:t> Державна підтримка та особливості кредитування трансферу технологій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i w:val="1"/>
                <w:color w:val="000000"/>
                <w:sz w:val="28"/>
                <w:szCs w:val="28"/>
              </w:rPr>
            </w:pPr>
            <w:r>
              <w:rPr>
                <w:i w:val="1"/>
                <w:color w:val="000000" w:themeColor="text1"/>
                <w:sz w:val="28"/>
                <w:szCs w:val="28"/>
              </w:rPr>
              <w:t>2. Державою запроваджуються заходи щодо підтримки трансферу технологій як пріоритетного напряму інноваційної діяльності відповідно до статті 6 </w:t>
            </w:r>
            <w:hyperlink xmlns:r="http://schemas.openxmlformats.org/officeDocument/2006/relationships" r:id="R31" w:tgtFrame="_blank">
              <w:r>
                <w:rPr>
                  <w:rStyle w:val="C2"/>
                  <w:i w:val="1"/>
                  <w:color w:val="000000" w:themeColor="text1"/>
                  <w:sz w:val="28"/>
                  <w:szCs w:val="28"/>
                  <w:u w:val="none"/>
                </w:rPr>
                <w:t>Закону України «Про пріоритетні напрями інноваційної діяльності в Україні»</w:t>
              </w:r>
            </w:hyperlink>
            <w:r>
              <w:rPr>
                <w:i w:val="1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7655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 w:themeColor="text1"/>
                <w:sz w:val="28"/>
                <w:szCs w:val="28"/>
              </w:rPr>
              <w:t>Стаття 24.</w:t>
            </w:r>
            <w:r>
              <w:rPr>
                <w:color w:val="000000" w:themeColor="text1"/>
                <w:sz w:val="28"/>
                <w:szCs w:val="28"/>
              </w:rPr>
              <w:t> Державна підтримка та особливості кредитування трансферу технологій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b w:val="1"/>
                <w:i w:val="1"/>
                <w:color w:val="000000"/>
                <w:sz w:val="28"/>
                <w:szCs w:val="28"/>
              </w:rPr>
            </w:pPr>
            <w:r>
              <w:rPr>
                <w:b w:val="1"/>
                <w:i w:val="1"/>
                <w:color w:val="000000" w:themeColor="text1"/>
                <w:sz w:val="28"/>
                <w:szCs w:val="28"/>
              </w:rPr>
              <w:t>Виключено.</w:t>
            </w:r>
          </w:p>
        </w:tc>
      </w:tr>
      <w:tr>
        <w:tc>
          <w:tcPr>
            <w:tcW w:w="15163" w:type="dxa"/>
            <w:gridSpan w:val="2"/>
          </w:tcPr>
          <w:p>
            <w:pPr>
              <w:ind w:firstLine="851"/>
              <w:contextualSpacing w:val="1"/>
              <w:jc w:val="center"/>
              <w:rPr>
                <w:rStyle w:val="C4"/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4"/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  <w:t>Закон України «Про наукову і науково-технічну діяльність»</w:t>
            </w:r>
          </w:p>
        </w:tc>
      </w:tr>
      <w:tr>
        <w:tc>
          <w:tcPr>
            <w:tcW w:w="7508" w:type="dxa"/>
          </w:tcPr>
          <w:p>
            <w:pPr>
              <w:shd w:val="clear" w:fill="FFFFFF"/>
              <w:spacing w:after="150" w:beforeAutospacing="0" w:afterAutospacing="0"/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lang w:eastAsia="uk-UA"/>
              </w:rPr>
              <w:t>Стаття 14.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 Національний науковий центр</w:t>
            </w:r>
          </w:p>
          <w:p>
            <w:pPr>
              <w:shd w:val="clear" w:fill="FFFFFF"/>
              <w:spacing w:after="150" w:beforeAutospacing="0" w:afterAutospacing="0"/>
              <w:ind w:firstLine="589"/>
              <w:contextualSpacing w:val="1"/>
              <w:jc w:val="both"/>
              <w:rPr>
                <w:rStyle w:val="C4"/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1. Науковій установі, університету, об’єднанню наукових установ та (або) університетів, які мають унікальне дослідно-експериментальне устаткування, науковців та фахівців найвищої кваліфікації, результати наукових досліджень яких мають загальнодержавне значення та міжнародне визнання, для реалізації </w:t>
            </w:r>
            <w:r>
              <w:rPr>
                <w:rFonts w:ascii="Times New Roman" w:hAnsi="Times New Roman"/>
                <w:i w:val="1"/>
                <w:color w:val="000000"/>
                <w:sz w:val="28"/>
                <w:szCs w:val="28"/>
                <w:lang w:eastAsia="uk-UA"/>
              </w:rPr>
              <w:t>найбільш важливих та актуальних для держави напрямів розвитку науки і техніки та (або) інноваційної діяльності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 може бути надано статус національного наукового центру.</w:t>
            </w:r>
          </w:p>
        </w:tc>
        <w:tc>
          <w:tcPr>
            <w:tcW w:w="7655" w:type="dxa"/>
          </w:tcPr>
          <w:p>
            <w:pPr>
              <w:shd w:val="clear" w:fill="FFFFFF"/>
              <w:spacing w:after="150" w:beforeAutospacing="0" w:afterAutospacing="0"/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lang w:eastAsia="uk-UA"/>
              </w:rPr>
              <w:t>Стаття 14.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 Національний науковий центр</w:t>
            </w:r>
          </w:p>
          <w:p>
            <w:pPr>
              <w:shd w:val="clear" w:fill="FFFFFF"/>
              <w:spacing w:after="150" w:beforeAutospacing="0" w:afterAutospacing="0"/>
              <w:ind w:firstLine="589"/>
              <w:contextualSpacing w:val="1"/>
              <w:jc w:val="both"/>
              <w:rPr>
                <w:rStyle w:val="C4"/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1. Науковій установі, університету, об’єднанню наукових установ та (або) університетів, які мають унікальне дослідно-експериментальне устаткування, науковців та фахівців найвищої кваліфікації, результати наукових досліджень яких мають загальнодержавне значення та міжнародне визнання, для реалізації </w:t>
            </w:r>
            <w:r>
              <w:rPr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lang w:eastAsia="uk-UA"/>
              </w:rPr>
              <w:t>пріоритетних напрямів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hAnsi="Times New Roman"/>
                <w:b w:val="1"/>
                <w:sz w:val="28"/>
                <w:szCs w:val="28"/>
              </w:rPr>
              <w:t>наукової, науково-технічної та інноваційної діяльності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 може бути надано статус національного наукового центру.</w:t>
            </w:r>
          </w:p>
        </w:tc>
      </w:tr>
      <w:tr>
        <w:tc>
          <w:tcPr>
            <w:tcW w:w="7508" w:type="dxa"/>
          </w:tcPr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4"/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  <w:t>Стаття 17.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Національна академія наук України</w:t>
            </w: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>
            <w:pPr>
              <w:shd w:val="clear" w:fill="FFFFFF"/>
              <w:spacing w:after="150" w:beforeAutospacing="0" w:afterAutospacing="0"/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2. Національна академія наук України організує і здійснює фундаментальні та прикладні наукові дослідження з найважливіших проблем природничих, технічних, суспільних і гуманітарних наук.</w:t>
            </w:r>
          </w:p>
          <w:p>
            <w:pPr>
              <w:shd w:val="clear" w:fill="FFFFFF"/>
              <w:spacing w:after="150" w:beforeAutospacing="0" w:afterAutospacing="0"/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При Національній академії наук України діють:</w:t>
            </w:r>
          </w:p>
          <w:p>
            <w:pPr>
              <w:shd w:val="clear" w:fill="FFFFFF"/>
              <w:spacing w:after="150" w:beforeAutospacing="0" w:afterAutospacing="0"/>
              <w:ind w:firstLine="589"/>
              <w:contextualSpacing w:val="1"/>
              <w:jc w:val="both"/>
              <w:rPr>
                <w:rStyle w:val="C4"/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1) Міжвідомча рада з координації фундаментальних і прикладних досліджень в Україні, що утворюється Національною академією наук України спільно з центральним органом виконавчої влади, що забезпечує формування та реалізує державну політику у сфері наукової і науково-технічної діяльності, та національними галузевими академіями наук для сприяння розвитку фундаментальних досліджень та ефективному використанню їх результатів у прикладних дослідженнях і науково-технічних розробках за пріоритетними напрямами </w:t>
            </w:r>
            <w:r>
              <w:rPr>
                <w:rFonts w:ascii="Times New Roman" w:hAnsi="Times New Roman"/>
                <w:i w:val="1"/>
                <w:iCs w:val="1"/>
                <w:color w:val="000000"/>
                <w:sz w:val="28"/>
                <w:szCs w:val="28"/>
                <w:lang w:eastAsia="uk-UA"/>
              </w:rPr>
              <w:t>розвитку науки і техніки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. Положення про Міжвідомчу раду з координації фундаментальних і прикладних досліджень в Україні та її склад затверджуються Кабінетом Міністрів України на підставі пропозицій Національної академії наук України та центрального органу виконавчої влади, що забезпечує формування та реалізує державну політику у сфері наукової і науково-технічної діяльності, погоджених Національною радою України з питань розвитку науки і технологій;</w:t>
            </w:r>
          </w:p>
        </w:tc>
        <w:tc>
          <w:tcPr>
            <w:tcW w:w="7655" w:type="dxa"/>
          </w:tcPr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4"/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  <w:t>Стаття 17.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Національна академія наук України</w:t>
            </w:r>
          </w:p>
          <w:p>
            <w:pPr>
              <w:shd w:val="clear" w:fill="FFFFFF"/>
              <w:spacing w:after="150" w:beforeAutospacing="0" w:afterAutospacing="0"/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…</w:t>
            </w:r>
          </w:p>
          <w:p>
            <w:pPr>
              <w:shd w:val="clear" w:fill="FFFFFF"/>
              <w:spacing w:after="150" w:beforeAutospacing="0" w:afterAutospacing="0"/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2. Національна академія наук України організує і здійснює фундаментальні та прикладні наукові дослідження з найважливіших проблем природничих, технічних, суспільних і гуманітарних наук.</w:t>
            </w:r>
          </w:p>
          <w:p>
            <w:pPr>
              <w:shd w:val="clear" w:fill="FFFFFF"/>
              <w:spacing w:after="150" w:beforeAutospacing="0" w:afterAutospacing="0"/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При Національній академії наук України діють:</w:t>
            </w:r>
          </w:p>
          <w:p>
            <w:pPr>
              <w:shd w:val="clear" w:fill="FFFFFF"/>
              <w:spacing w:after="150" w:beforeAutospacing="0" w:afterAutospacing="0"/>
              <w:ind w:firstLine="589"/>
              <w:contextualSpacing w:val="1"/>
              <w:jc w:val="both"/>
              <w:rPr>
                <w:rStyle w:val="C4"/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1) Міжвідомча рада з координації фундаментальних і прикладних досліджень в Україні, що утворюється Національною академією наук України спільно з центральним органом виконавчої влади, що забезпечує формування та реалізує державну політику у сфері наукової і науково-технічної діяльності, та національними галузевими академіями наук для сприяння розвитку фундаментальних досліджень та ефективному використанню їх результатів у прикладних дослідженнях і науково-технічних розробках за </w:t>
            </w:r>
            <w:r>
              <w:rPr>
                <w:rFonts w:ascii="Times New Roman" w:hAnsi="Times New Roman"/>
                <w:bCs w:val="1"/>
                <w:color w:val="000000"/>
                <w:sz w:val="28"/>
                <w:szCs w:val="28"/>
              </w:rPr>
              <w:t>пріоритетними напрямами</w:t>
            </w:r>
            <w:r>
              <w:rPr>
                <w:rFonts w:ascii="Times New Roman" w:hAnsi="Times New Roman"/>
                <w:b w:val="1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1"/>
                <w:sz w:val="28"/>
                <w:szCs w:val="28"/>
              </w:rPr>
              <w:t>наукової, науково-технічної та інноваційної діяльності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. Положення про Міжвідомчу раду з координації фундаментальних і прикладних досліджень в Україні та її склад затверджуються Кабінетом Міністрів України на підставі пропозицій Національної академії наук України та центрального органу виконавчої влади, що забезпечує формування та реалізує державну політику у сфері наукової і науково-технічної діяльності, погоджених Національною радою України з питань розвитку науки і технологій;</w:t>
            </w:r>
          </w:p>
        </w:tc>
      </w:tr>
      <w:tr>
        <w:tc>
          <w:tcPr>
            <w:tcW w:w="7508" w:type="dxa"/>
          </w:tcPr>
          <w:p>
            <w:pPr>
              <w:ind w:firstLine="589"/>
              <w:contextualSpacing w:val="1"/>
              <w:jc w:val="both"/>
              <w:rPr>
                <w:rStyle w:val="C4"/>
                <w:rFonts w:ascii="Times New Roman" w:hAnsi="Times New Roman"/>
                <w:bCs w:val="1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4"/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  <w:t xml:space="preserve">Стаття 18. </w:t>
            </w:r>
            <w:r>
              <w:rPr>
                <w:rStyle w:val="C4"/>
                <w:rFonts w:ascii="Times New Roman" w:hAnsi="Times New Roman"/>
                <w:bCs w:val="1"/>
                <w:color w:val="000000"/>
                <w:sz w:val="28"/>
                <w:szCs w:val="28"/>
                <w:shd w:val="clear" w:color="auto" w:fill="FFFFFF"/>
              </w:rPr>
              <w:t>Національні галузеві академії наук</w:t>
            </w:r>
          </w:p>
          <w:p>
            <w:pPr>
              <w:ind w:firstLine="589"/>
              <w:contextualSpacing w:val="1"/>
              <w:jc w:val="both"/>
              <w:rPr>
                <w:rStyle w:val="C4"/>
                <w:rFonts w:ascii="Times New Roman" w:hAnsi="Times New Roman"/>
                <w:bCs w:val="1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4"/>
                <w:rFonts w:ascii="Times New Roman" w:hAnsi="Times New Roman"/>
                <w:bCs w:val="1"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>
            <w:pPr>
              <w:ind w:firstLine="589"/>
              <w:contextualSpacing w:val="1"/>
              <w:jc w:val="both"/>
              <w:rPr>
                <w:rStyle w:val="C4"/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4"/>
                <w:rFonts w:ascii="Times New Roman" w:hAnsi="Times New Roman"/>
                <w:bCs w:val="1"/>
                <w:color w:val="000000"/>
                <w:sz w:val="28"/>
                <w:szCs w:val="28"/>
                <w:shd w:val="clear" w:color="auto" w:fill="FFFFFF"/>
              </w:rPr>
              <w:t xml:space="preserve">3. Національні галузеві академії наук як самоврядні наукові організації України координують, організують і проводять дослідження у відповідних галузях науки і техніки, взаємодіють з відповідними органами державної влади з метою виконання завдань, визначених </w:t>
            </w:r>
            <w:r>
              <w:rPr>
                <w:rStyle w:val="C4"/>
                <w:rFonts w:ascii="Times New Roman" w:hAnsi="Times New Roman"/>
                <w:i w:val="1"/>
                <w:bCs w:val="1"/>
                <w:color w:val="000000"/>
                <w:sz w:val="28"/>
                <w:szCs w:val="28"/>
                <w:shd w:val="clear" w:color="auto" w:fill="FFFFFF"/>
              </w:rPr>
              <w:t xml:space="preserve">державними пріоритетами </w:t>
            </w:r>
            <w:r>
              <w:rPr>
                <w:rStyle w:val="C4"/>
                <w:rFonts w:ascii="Times New Roman" w:hAnsi="Times New Roman"/>
                <w:bCs w:val="1"/>
                <w:color w:val="000000"/>
                <w:sz w:val="28"/>
                <w:szCs w:val="28"/>
                <w:shd w:val="clear" w:color="auto" w:fill="FFFFFF"/>
              </w:rPr>
              <w:t>у цих галузях</w:t>
            </w:r>
            <w:r>
              <w:rPr>
                <w:rStyle w:val="C4"/>
                <w:rFonts w:ascii="Times New Roman" w:hAnsi="Times New Roman"/>
                <w:i w:val="1"/>
                <w:bCs w:val="1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7655" w:type="dxa"/>
          </w:tcPr>
          <w:p>
            <w:pPr>
              <w:ind w:firstLine="589"/>
              <w:contextualSpacing w:val="1"/>
              <w:jc w:val="both"/>
              <w:rPr>
                <w:rStyle w:val="C4"/>
                <w:rFonts w:ascii="Times New Roman" w:hAnsi="Times New Roman"/>
                <w:bCs w:val="1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4"/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  <w:t xml:space="preserve">Стаття 18. </w:t>
            </w:r>
            <w:r>
              <w:rPr>
                <w:rStyle w:val="C4"/>
                <w:rFonts w:ascii="Times New Roman" w:hAnsi="Times New Roman"/>
                <w:bCs w:val="1"/>
                <w:color w:val="000000"/>
                <w:sz w:val="28"/>
                <w:szCs w:val="28"/>
                <w:shd w:val="clear" w:color="auto" w:fill="FFFFFF"/>
              </w:rPr>
              <w:t>Національні галузеві академії наук</w:t>
            </w:r>
          </w:p>
          <w:p>
            <w:pPr>
              <w:ind w:firstLine="589"/>
              <w:contextualSpacing w:val="1"/>
              <w:jc w:val="both"/>
              <w:rPr>
                <w:rStyle w:val="C4"/>
                <w:rFonts w:ascii="Times New Roman" w:hAnsi="Times New Roman"/>
                <w:bCs w:val="1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4"/>
                <w:rFonts w:ascii="Times New Roman" w:hAnsi="Times New Roman"/>
                <w:bCs w:val="1"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>
            <w:pPr>
              <w:ind w:firstLine="589"/>
              <w:contextualSpacing w:val="1"/>
              <w:jc w:val="both"/>
              <w:rPr>
                <w:rStyle w:val="C4"/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4"/>
                <w:rFonts w:ascii="Times New Roman" w:hAnsi="Times New Roman"/>
                <w:bCs w:val="1"/>
                <w:color w:val="000000"/>
                <w:sz w:val="28"/>
                <w:szCs w:val="28"/>
                <w:shd w:val="clear" w:color="auto" w:fill="FFFFFF"/>
              </w:rPr>
              <w:t xml:space="preserve">3. Національні галузеві академії наук як самоврядні наукові організації України координують, організують і проводять дослідження у відповідних галузях науки і техніки, взаємодіють з відповідними органами державної влади з метою виконання завдань, визначених </w:t>
            </w:r>
            <w:r>
              <w:rPr>
                <w:rStyle w:val="C4"/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  <w:t>пріоритетними напрямами наукової, науково-технічної та інноваційної діяльності</w:t>
            </w:r>
            <w:r>
              <w:rPr>
                <w:rStyle w:val="C4"/>
                <w:rFonts w:ascii="Times New Roman" w:hAnsi="Times New Roman"/>
                <w:bCs w:val="1"/>
                <w:color w:val="000000"/>
                <w:sz w:val="28"/>
                <w:szCs w:val="28"/>
                <w:shd w:val="clear" w:color="auto" w:fill="FFFFFF"/>
              </w:rPr>
              <w:t xml:space="preserve"> у цих галузях.</w:t>
            </w:r>
          </w:p>
        </w:tc>
      </w:tr>
      <w:tr>
        <w:tc>
          <w:tcPr>
            <w:tcW w:w="7508" w:type="dxa"/>
          </w:tcPr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4"/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  <w:t>Стаття 20.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Національна рада України з питань розвитку науки і технологій</w:t>
            </w: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 Основними функціями Національної ради України з питань розвитку науки і технологій є: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2) </w:t>
            </w:r>
            <w:r>
              <w:rPr>
                <w:i w:val="1"/>
                <w:color w:val="000000"/>
                <w:sz w:val="28"/>
                <w:szCs w:val="28"/>
              </w:rPr>
              <w:t>підготовка пропозицій щодо визначення пріоритетів розвитку науки і техніки та заходів з їх реалізації</w:t>
            </w:r>
            <w:r>
              <w:rPr>
                <w:color w:val="000000"/>
                <w:sz w:val="28"/>
                <w:szCs w:val="28"/>
              </w:rPr>
              <w:t>;</w:t>
            </w:r>
          </w:p>
        </w:tc>
        <w:tc>
          <w:tcPr>
            <w:tcW w:w="7655" w:type="dxa"/>
          </w:tcPr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4"/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  <w:t>Стаття 20.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Національна рада України з питань розвитку науки і технологій</w:t>
            </w: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 Основними функціями Національної ради України з питань розвитку науки і технологій є: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2) </w:t>
            </w:r>
            <w:r>
              <w:rPr>
                <w:b w:val="1"/>
                <w:sz w:val="28"/>
                <w:szCs w:val="28"/>
              </w:rPr>
              <w:t>участь у підготовці пропозицій щодо пріоритетних напрямів наукової, науково-технічної та інноваційної діяльності, а також пропозицій щодо їх коригування</w:t>
            </w:r>
            <w:r>
              <w:rPr>
                <w:color w:val="000000"/>
                <w:sz w:val="28"/>
                <w:szCs w:val="28"/>
              </w:rPr>
              <w:t>;</w:t>
            </w:r>
          </w:p>
        </w:tc>
      </w:tr>
      <w:tr>
        <w:trPr>
          <w:trHeight w:hRule="atLeast" w:val="1687"/>
        </w:trPr>
        <w:tc>
          <w:tcPr>
            <w:tcW w:w="7508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/>
                <w:sz w:val="28"/>
                <w:szCs w:val="28"/>
              </w:rPr>
              <w:t>Стаття 39.</w:t>
            </w:r>
            <w:r>
              <w:rPr>
                <w:color w:val="000000"/>
                <w:sz w:val="28"/>
                <w:szCs w:val="28"/>
              </w:rPr>
              <w:t> Повноваження Верховної Ради України у сфері наукової і науково-технічної діяльності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 Верховна Рада України: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i w:val="1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3) затверджує </w:t>
            </w:r>
            <w:r>
              <w:rPr>
                <w:i w:val="1"/>
                <w:color w:val="000000"/>
                <w:sz w:val="28"/>
                <w:szCs w:val="28"/>
              </w:rPr>
              <w:t>пріоритетні напрями розвитку науки і техніки та</w:t>
            </w:r>
            <w:r>
              <w:rPr>
                <w:color w:val="000000"/>
                <w:sz w:val="28"/>
                <w:szCs w:val="28"/>
              </w:rPr>
              <w:t xml:space="preserve"> загальнодержавні програми науково-технічного розвитку України;</w:t>
            </w:r>
          </w:p>
        </w:tc>
        <w:tc>
          <w:tcPr>
            <w:tcW w:w="7655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/>
                <w:sz w:val="28"/>
                <w:szCs w:val="28"/>
              </w:rPr>
              <w:t>Стаття 39.</w:t>
            </w:r>
            <w:r>
              <w:rPr>
                <w:color w:val="000000"/>
                <w:sz w:val="28"/>
                <w:szCs w:val="28"/>
              </w:rPr>
              <w:t> Повноваження Верховної Ради України у сфері наукової і науково-технічної діяльності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 Верховна Рада України: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b w:val="1"/>
                <w:color w:val="000000"/>
                <w:sz w:val="28"/>
                <w:szCs w:val="28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3) </w:t>
            </w:r>
            <w:r>
              <w:rPr>
                <w:rStyle w:val="C4"/>
                <w:b w:val="1"/>
                <w:color w:val="000000"/>
                <w:sz w:val="28"/>
                <w:szCs w:val="28"/>
              </w:rPr>
              <w:t>визначає основні засади формування та реалізації пріоритетних напрямів наукової, науково-технічної та інноваційної діяльності,</w:t>
            </w:r>
            <w:r>
              <w:rPr>
                <w:rStyle w:val="C4"/>
                <w:color w:val="000000"/>
                <w:sz w:val="28"/>
                <w:szCs w:val="28"/>
              </w:rPr>
              <w:t xml:space="preserve"> затверджує загальнодержавні програми науково-технічного розвитку України;</w:t>
            </w:r>
          </w:p>
        </w:tc>
      </w:tr>
      <w:tr>
        <w:tc>
          <w:tcPr>
            <w:tcW w:w="7508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/>
                <w:sz w:val="28"/>
                <w:szCs w:val="28"/>
              </w:rPr>
              <w:t>Стаття 41.</w:t>
            </w:r>
            <w:r>
              <w:rPr>
                <w:color w:val="000000"/>
                <w:sz w:val="28"/>
                <w:szCs w:val="28"/>
              </w:rPr>
              <w:t> Повноваження Кабінету Міністрів України у сфері наукової і науково-технічної діяльності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 Кабінет Міністрів України як вищий орган у системі органів виконавчої влади: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3) </w:t>
            </w:r>
            <w:r>
              <w:rPr>
                <w:i w:val="1"/>
                <w:color w:val="000000"/>
                <w:sz w:val="28"/>
                <w:szCs w:val="28"/>
              </w:rPr>
              <w:t>подає Верховній Раді України пропозиції щодо визначення пріоритетних напрямів розвитку науки і техніки</w:t>
            </w:r>
            <w:r>
              <w:rPr>
                <w:color w:val="000000"/>
                <w:sz w:val="28"/>
                <w:szCs w:val="28"/>
              </w:rPr>
              <w:t>;</w:t>
            </w:r>
          </w:p>
        </w:tc>
        <w:tc>
          <w:tcPr>
            <w:tcW w:w="7655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/>
                <w:sz w:val="28"/>
                <w:szCs w:val="28"/>
              </w:rPr>
              <w:t>Стаття 41.</w:t>
            </w:r>
            <w:r>
              <w:rPr>
                <w:color w:val="000000"/>
                <w:sz w:val="28"/>
                <w:szCs w:val="28"/>
              </w:rPr>
              <w:t> Повноваження Кабінету Міністрів України у сфері наукової і науково-технічної діяльності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 Кабінет Міністрів України як вищий орган у системі органів виконавчої влади: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>
            <w:pPr>
              <w:pStyle w:val="P1"/>
              <w:shd w:val="clear" w:fill="FFFFFF"/>
              <w:spacing w:after="150" w:beforeAutospacing="0" w:afterAutospacing="0"/>
              <w:ind w:firstLine="589"/>
              <w:contextualSpacing w:val="1"/>
              <w:jc w:val="both"/>
              <w:rPr>
                <w:rStyle w:val="C4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3) </w:t>
            </w:r>
            <w:r>
              <w:rPr>
                <w:b w:val="1"/>
                <w:sz w:val="28"/>
                <w:szCs w:val="28"/>
              </w:rPr>
              <w:t>затверджує перелік пріоритетних напрямів наукової, науково-технічної та інноваційної діяльності, здійснює заходи щодо реалізації пріоритетних напрямів наукової, науково-технічної та інноваційної діяльності та їх коригування за результатами реалізації</w:t>
            </w:r>
            <w:r>
              <w:rPr>
                <w:b w:val="1"/>
                <w:bCs w:val="1"/>
                <w:sz w:val="28"/>
                <w:szCs w:val="28"/>
              </w:rPr>
              <w:t>;</w:t>
            </w:r>
          </w:p>
        </w:tc>
      </w:tr>
      <w:tr>
        <w:tc>
          <w:tcPr>
            <w:tcW w:w="7508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/>
                <w:sz w:val="28"/>
                <w:szCs w:val="28"/>
              </w:rPr>
              <w:t>Стаття 42.</w:t>
            </w:r>
            <w:r>
              <w:rPr>
                <w:color w:val="000000"/>
                <w:sz w:val="28"/>
                <w:szCs w:val="28"/>
              </w:rPr>
              <w:t> Повноваження центрального органу виконавчої влади, що забезпечує формування та реалізує державну політику у сфері наукової і науково-технічної діяльності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 Центральний орган виконавчої влади, що забезпечує формування та реалізує державну політику у сфері наукової і науково-технічної діяльності: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4) </w:t>
            </w:r>
            <w:r>
              <w:rPr>
                <w:i w:val="1"/>
                <w:color w:val="000000"/>
                <w:sz w:val="28"/>
                <w:szCs w:val="28"/>
              </w:rPr>
              <w:t>розробляє спільно з Національною радою України з питань розвитку науки і технологій пріоритетні напрями розвитку науки і техніки та вносить відповідні пропозиції на розгляд Кабінету Міністрів України у встановленому законодавством порядку;</w:t>
            </w:r>
          </w:p>
        </w:tc>
        <w:tc>
          <w:tcPr>
            <w:tcW w:w="7655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/>
                <w:sz w:val="28"/>
                <w:szCs w:val="28"/>
              </w:rPr>
              <w:t>Стаття 42.</w:t>
            </w:r>
            <w:r>
              <w:rPr>
                <w:color w:val="000000"/>
                <w:sz w:val="28"/>
                <w:szCs w:val="28"/>
              </w:rPr>
              <w:t> Повноваження центрального органу виконавчої влади, що забезпечує формування та реалізує державну політику у сфері наукової і науково-технічної діяльності</w:t>
            </w:r>
          </w:p>
          <w:p>
            <w:pPr>
              <w:pStyle w:val="P1"/>
              <w:numPr>
                <w:ilvl w:val="0"/>
                <w:numId w:val="1"/>
              </w:numPr>
              <w:shd w:val="clear" w:fill="FFFFFF"/>
              <w:spacing w:before="0" w:after="150" w:beforeAutospacing="0" w:afterAutospacing="0"/>
              <w:ind w:firstLine="603" w:left="0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Центральний орган виконавчої влади, що забезпечує формування та реалізує державну політику у сфері наукової і науково-технічної діяльності: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603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603"/>
              <w:contextualSpacing w:val="1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4) </w:t>
            </w:r>
            <w:r>
              <w:rPr>
                <w:b w:val="1"/>
                <w:bCs w:val="1"/>
                <w:sz w:val="28"/>
                <w:szCs w:val="28"/>
              </w:rPr>
              <w:t xml:space="preserve">забезпечує у встановленому законодавством порядку </w:t>
            </w:r>
            <w:r>
              <w:rPr>
                <w:b w:val="1"/>
                <w:sz w:val="28"/>
                <w:szCs w:val="28"/>
              </w:rPr>
              <w:t xml:space="preserve">підготовку </w:t>
            </w:r>
            <w:r>
              <w:rPr>
                <w:b w:val="1"/>
                <w:bCs w:val="1"/>
                <w:sz w:val="28"/>
                <w:szCs w:val="28"/>
              </w:rPr>
              <w:t>пропозицій щодо</w:t>
            </w:r>
            <w:r>
              <w:rPr>
                <w:b w:val="1"/>
                <w:sz w:val="28"/>
                <w:szCs w:val="22"/>
              </w:rPr>
              <w:t xml:space="preserve"> </w:t>
            </w:r>
            <w:r>
              <w:rPr>
                <w:b w:val="1"/>
                <w:bCs w:val="1"/>
                <w:sz w:val="28"/>
                <w:szCs w:val="28"/>
              </w:rPr>
              <w:t xml:space="preserve">переліку пріоритетних напрямів наукової, науково-технічної та інноваційної діяльності, </w:t>
            </w:r>
            <w:r>
              <w:rPr>
                <w:b w:val="1"/>
                <w:sz w:val="28"/>
                <w:szCs w:val="28"/>
              </w:rPr>
              <w:t xml:space="preserve">моніторинг їх реалізації та підготовку </w:t>
            </w:r>
            <w:r>
              <w:rPr>
                <w:b w:val="1"/>
                <w:bCs w:val="1"/>
                <w:sz w:val="28"/>
                <w:szCs w:val="28"/>
              </w:rPr>
              <w:t xml:space="preserve">пропозицій щодо коригування  </w:t>
            </w:r>
            <w:r>
              <w:rPr>
                <w:b w:val="1"/>
                <w:sz w:val="28"/>
                <w:szCs w:val="28"/>
              </w:rPr>
              <w:t xml:space="preserve">пріоритетних напрямів наукової, науково-технічної та інноваційної діяльності </w:t>
            </w:r>
            <w:r>
              <w:rPr>
                <w:b w:val="1"/>
                <w:bCs w:val="1"/>
                <w:sz w:val="28"/>
                <w:szCs w:val="28"/>
              </w:rPr>
              <w:t>за результатами їх реалізації, подає відповідні пропозиції на розгляд Кабінету Міністрів України;</w:t>
            </w:r>
          </w:p>
        </w:tc>
      </w:tr>
      <w:tr>
        <w:tc>
          <w:tcPr>
            <w:tcW w:w="7508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/>
                <w:sz w:val="28"/>
                <w:szCs w:val="28"/>
              </w:rPr>
              <w:t>Стаття 43.</w:t>
            </w:r>
            <w:r>
              <w:rPr>
                <w:color w:val="000000"/>
                <w:sz w:val="28"/>
                <w:szCs w:val="28"/>
              </w:rPr>
              <w:t> Повноваження інших центральних органів виконавчої влади у сфері наукової і науково-технічної діяльності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 Інші центральні органи виконавчої влади в межах своїх повноважень: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3) залучають наукові установи та заклади вищої освіти (за їх згодою) до розв’язання проблем науково-технічного розвитку, беруть участь у визначенні пріоритетних напрямів </w:t>
            </w:r>
            <w:r>
              <w:rPr>
                <w:i w:val="1"/>
                <w:iCs w:val="1"/>
                <w:color w:val="000000"/>
                <w:sz w:val="28"/>
                <w:szCs w:val="28"/>
              </w:rPr>
              <w:t xml:space="preserve">розвитку науки і техніки </w:t>
            </w:r>
            <w:r>
              <w:rPr>
                <w:color w:val="000000"/>
                <w:sz w:val="28"/>
                <w:szCs w:val="28"/>
              </w:rPr>
              <w:t>в Україні, державних цільових наукових та науково-технічних програм і державного замовлення у сфері наукової і науково-технічної діяльності;</w:t>
            </w:r>
          </w:p>
        </w:tc>
        <w:tc>
          <w:tcPr>
            <w:tcW w:w="7655" w:type="dxa"/>
          </w:tcPr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4"/>
                <w:b w:val="1"/>
                <w:bCs w:val="1"/>
                <w:color w:val="000000"/>
                <w:sz w:val="28"/>
                <w:szCs w:val="28"/>
              </w:rPr>
              <w:t>Стаття 43.</w:t>
            </w:r>
            <w:r>
              <w:rPr>
                <w:color w:val="000000"/>
                <w:sz w:val="28"/>
                <w:szCs w:val="28"/>
              </w:rPr>
              <w:t> Повноваження інших центральних органів виконавчої влади у сфері наукової і науково-технічної діяльності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b w:val="1"/>
                <w:color w:val="000000"/>
                <w:sz w:val="28"/>
                <w:szCs w:val="28"/>
              </w:rPr>
            </w:pPr>
            <w:r>
              <w:rPr>
                <w:b w:val="1"/>
                <w:sz w:val="28"/>
                <w:szCs w:val="28"/>
              </w:rPr>
              <w:t>1. Центральний орган виконавчої влади, що забезпечує формування та реалізує державну інноваційну політику в реальному секторі економіки, погоджує пропозиції щодо пріоритетних напрямів наукової, науково-технічної та інноваційної діяльності та пропозиції щодо коригування пріоритетних напрямів наукової, науково-технічної та інноваційної діяльності, підготовлені центральним органом виконавчої влади, що забезпечує формування та реалізує державну політику у сфері наукової та науково-технічної діяльності.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b w:val="1"/>
                <w:color w:val="000000"/>
                <w:sz w:val="28"/>
                <w:szCs w:val="28"/>
              </w:rPr>
              <w:t>2</w:t>
            </w:r>
            <w:r>
              <w:rPr>
                <w:color w:val="000000"/>
                <w:sz w:val="28"/>
                <w:szCs w:val="28"/>
              </w:rPr>
              <w:t>. Інші центральні органи виконавчої влади в межах своїх повноважень: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3) залучають наукові установи та заклади вищої освіти (за їх згодою) до розв’язання проблем науково-технічного розвитку, беруть участь у визначенні пріоритетних напрямів </w:t>
            </w:r>
            <w:r>
              <w:rPr>
                <w:b w:val="1"/>
                <w:bCs w:val="1"/>
                <w:sz w:val="28"/>
                <w:szCs w:val="28"/>
              </w:rPr>
              <w:t xml:space="preserve">наукової, науково-технічної та інноваційної діяльності </w:t>
            </w:r>
            <w:r>
              <w:rPr>
                <w:sz w:val="28"/>
                <w:szCs w:val="28"/>
              </w:rPr>
              <w:t>в Україні</w:t>
            </w:r>
            <w:r>
              <w:rPr>
                <w:color w:val="000000"/>
                <w:sz w:val="28"/>
                <w:szCs w:val="28"/>
              </w:rPr>
              <w:t xml:space="preserve">, державних цільових наукових та науково-технічних програм і державного замовлення у сфері наукової і науково-технічної діяльності; </w:t>
            </w:r>
          </w:p>
        </w:tc>
      </w:tr>
      <w:tr>
        <w:tc>
          <w:tcPr>
            <w:tcW w:w="7508" w:type="dxa"/>
          </w:tcPr>
          <w:p>
            <w:pPr>
              <w:ind w:firstLine="589"/>
              <w:contextualSpacing w:val="1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4"/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  <w:t>Стаття 45.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Цілі та напрями державної політики у сфері наукової і науково-технічної діяльності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 Держава забезпечує: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7) підтримку </w:t>
            </w:r>
            <w:r>
              <w:rPr>
                <w:iCs w:val="1"/>
                <w:color w:val="000000"/>
                <w:sz w:val="28"/>
                <w:szCs w:val="28"/>
              </w:rPr>
              <w:t>пріоритетних напрямів</w:t>
            </w:r>
            <w:r>
              <w:rPr>
                <w:i w:val="1"/>
                <w:color w:val="000000"/>
                <w:sz w:val="28"/>
                <w:szCs w:val="28"/>
              </w:rPr>
              <w:t xml:space="preserve"> розвитку науки і техніки</w:t>
            </w:r>
            <w:r>
              <w:rPr>
                <w:color w:val="000000"/>
                <w:sz w:val="28"/>
                <w:szCs w:val="28"/>
              </w:rPr>
              <w:t>, державних цільових наукових і науково-технічних програм та концентрацію ресурсів для їх реалізації;</w:t>
            </w:r>
          </w:p>
        </w:tc>
        <w:tc>
          <w:tcPr>
            <w:tcW w:w="7655" w:type="dxa"/>
          </w:tcPr>
          <w:p>
            <w:pPr>
              <w:ind w:firstLine="589"/>
              <w:contextualSpacing w:val="1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4"/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  <w:t>Стаття 45.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Цілі та напрями державної політики у сфері наукової і науково-технічної діяльності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 Держава забезпечує: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7) підтримку пріоритетних напрямів </w:t>
            </w:r>
            <w:r>
              <w:rPr>
                <w:b w:val="1"/>
                <w:bCs w:val="1"/>
                <w:sz w:val="28"/>
                <w:szCs w:val="28"/>
              </w:rPr>
              <w:t>наукової, науково-технічної та інноваційної діяльності</w:t>
            </w:r>
            <w:r>
              <w:rPr>
                <w:color w:val="000000"/>
                <w:sz w:val="28"/>
                <w:szCs w:val="28"/>
              </w:rPr>
              <w:t>, державних цільових наукових і науково-технічних програм та концентрацію ресурсів для їх реалізації;</w:t>
            </w:r>
          </w:p>
        </w:tc>
      </w:tr>
      <w:tr>
        <w:tc>
          <w:tcPr>
            <w:tcW w:w="7508" w:type="dxa"/>
          </w:tcPr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C4"/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  <w:t>Стаття 48.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Фінансове забезпечення наукової і науково-технічної діяльності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 Фінансування окремих наукових і науково-технічних програм, проектів та надання грантів здійснюється на конкурсній основі для: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1) науково-технічних програм і окремих розробок, спрямованих на реалізацію пріоритетних напрямів </w:t>
            </w:r>
            <w:r>
              <w:rPr>
                <w:i w:val="1"/>
                <w:color w:val="000000"/>
                <w:sz w:val="28"/>
                <w:szCs w:val="28"/>
              </w:rPr>
              <w:t>розвитку науки і техніки</w:t>
            </w:r>
            <w:r>
              <w:rPr>
                <w:color w:val="000000"/>
                <w:sz w:val="28"/>
                <w:szCs w:val="28"/>
              </w:rPr>
              <w:t>;</w:t>
            </w:r>
          </w:p>
        </w:tc>
        <w:tc>
          <w:tcPr>
            <w:tcW w:w="7655" w:type="dxa"/>
          </w:tcPr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4"/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  <w:t>Стаття 48.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Фінансове забезпечення наукової і науково-технічної діяльності</w:t>
            </w:r>
          </w:p>
          <w:p>
            <w:pPr>
              <w:shd w:val="clear" w:fill="FFFFFF"/>
              <w:spacing w:after="150" w:beforeAutospacing="0" w:afterAutospacing="0"/>
              <w:ind w:firstLine="589"/>
              <w:contextualSpacing w:val="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>5. Фінансування окремих наукових і науково-технічних програм, проектів та надання грантів здійснюється на конкурсній основі для:</w:t>
            </w:r>
          </w:p>
          <w:p>
            <w:pPr>
              <w:ind w:firstLine="589"/>
              <w:contextualSpacing w:val="1"/>
              <w:jc w:val="both"/>
              <w:rPr>
                <w:rStyle w:val="C4"/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 xml:space="preserve">1) науково-технічних програм і окремих розробок, спрямованих на реалізацію пріоритетних напрямів 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</w:rPr>
              <w:t>наукової, науково-технічної та інноваційної діяльності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uk-UA"/>
              </w:rPr>
              <w:t>;</w:t>
            </w:r>
          </w:p>
        </w:tc>
      </w:tr>
      <w:tr>
        <w:tc>
          <w:tcPr>
            <w:tcW w:w="7508" w:type="dxa"/>
          </w:tcPr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4"/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  <w:t>Стаття 49.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Статус та завдання Національного фонду досліджень України</w:t>
            </w: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2. Національний фонд досліджень України є державною бюджетною установою, основним завданням якої є грантова підтримка:</w:t>
            </w: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i w:val="1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i w:val="1"/>
                <w:color w:val="000000"/>
                <w:sz w:val="28"/>
                <w:szCs w:val="28"/>
                <w:shd w:val="clear" w:color="auto" w:fill="FFFFFF"/>
              </w:rPr>
              <w:t>1) фундаментальних наукових досліджень у галузі природничих, технічних, суспільних та гуманітарних наук;</w:t>
            </w: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i w:val="1"/>
                <w:color w:val="000000"/>
                <w:sz w:val="28"/>
                <w:szCs w:val="28"/>
                <w:shd w:val="clear" w:color="auto" w:fill="FFFFFF"/>
              </w:rPr>
            </w:pP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i w:val="1"/>
                <w:color w:val="000000"/>
                <w:sz w:val="28"/>
                <w:szCs w:val="28"/>
                <w:shd w:val="clear" w:color="auto" w:fill="FFFFFF"/>
              </w:rPr>
              <w:t>2) прикладних наукових досліджень і науково-технічних (експериментальних) розробок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за пріоритетними напрямами розвитку науки і техніки.</w:t>
            </w:r>
          </w:p>
          <w:p>
            <w:pPr>
              <w:ind w:firstLine="589"/>
              <w:contextualSpacing w:val="1"/>
              <w:jc w:val="both"/>
              <w:rPr>
                <w:rStyle w:val="C5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4"/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  <w:t>Стаття 49.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Статус та завдання Національного фонду досліджень України</w:t>
            </w:r>
          </w:p>
          <w:p>
            <w:pPr>
              <w:ind w:firstLine="589"/>
              <w:contextualSpacing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  <w:p>
            <w:pPr>
              <w:ind w:firstLine="589"/>
              <w:contextualSpacing w:val="1"/>
              <w:jc w:val="both"/>
              <w:rPr>
                <w:rStyle w:val="C4"/>
                <w:rFonts w:ascii="Times New Roman" w:hAnsi="Times New Roman"/>
                <w:i w:val="1"/>
                <w:bCs w:val="1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2. Національний фонд досліджень України є державною бюджетною установою, основним завданням якої є грантова підтримка </w:t>
            </w:r>
            <w:r>
              <w:rPr>
                <w:rFonts w:ascii="Times New Roman" w:hAnsi="Times New Roman"/>
                <w:b w:val="1"/>
                <w:sz w:val="28"/>
                <w:szCs w:val="28"/>
              </w:rPr>
              <w:t>наукових досліджень і науково-технічних (експериментальних) розробок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1"/>
                <w:color w:val="000000"/>
                <w:sz w:val="28"/>
                <w:szCs w:val="28"/>
                <w:shd w:val="clear" w:color="auto" w:fill="FFFFFF"/>
              </w:rPr>
              <w:t xml:space="preserve"> за пріоритетними напрямами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</w:rPr>
              <w:t>наукової, науково-технічної та інноваційної діяльності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</w:tr>
      <w:tr>
        <w:tc>
          <w:tcPr>
            <w:tcW w:w="7508" w:type="dxa"/>
          </w:tcPr>
          <w:p>
            <w:pPr>
              <w:shd w:val="clear" w:fill="FFFFFF"/>
              <w:spacing w:after="150" w:beforeAutospacing="0" w:afterAutospacing="0"/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lang w:eastAsia="uk-UA"/>
              </w:rPr>
              <w:t>Стаття 56.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 Державні цільові наукові та науково-технічні програми у сфері наукової і науково-технічної діяльності</w:t>
            </w:r>
          </w:p>
          <w:p>
            <w:pPr>
              <w:shd w:val="clear" w:fill="FFFFFF"/>
              <w:spacing w:after="150" w:beforeAutospacing="0" w:afterAutospacing="0"/>
              <w:ind w:firstLine="589"/>
              <w:contextualSpacing w:val="1"/>
              <w:jc w:val="both"/>
              <w:rPr>
                <w:rStyle w:val="C4"/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1. Державні цільові наукові та науково-технічні програми є основним засобом концентрації науково-технічного потенціалу держави для розв’язання найважливіших природничих, технічних і гуманітарних проблем та реалізації пріоритетних напрямів </w:t>
            </w:r>
            <w:r>
              <w:rPr>
                <w:rFonts w:ascii="Times New Roman" w:hAnsi="Times New Roman"/>
                <w:i w:val="1"/>
                <w:color w:val="000000"/>
                <w:sz w:val="28"/>
                <w:szCs w:val="28"/>
                <w:lang w:eastAsia="uk-UA"/>
              </w:rPr>
              <w:t>розвитку науки і техніки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7655" w:type="dxa"/>
          </w:tcPr>
          <w:p>
            <w:pPr>
              <w:shd w:val="clear" w:fill="FFFFFF"/>
              <w:spacing w:after="150" w:beforeAutospacing="0" w:afterAutospacing="0"/>
              <w:ind w:firstLine="589"/>
              <w:contextualSpacing w:val="1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lang w:eastAsia="uk-UA"/>
              </w:rPr>
              <w:t>Стаття 56.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 Державні цільові наукові та науково-технічні програми у сфері наукової і науково-технічної діяльності</w:t>
            </w:r>
          </w:p>
          <w:p>
            <w:pPr>
              <w:shd w:val="clear" w:fill="FFFFFF"/>
              <w:spacing w:after="150" w:beforeAutospacing="0" w:afterAutospacing="0"/>
              <w:ind w:firstLine="589"/>
              <w:contextualSpacing w:val="1"/>
              <w:jc w:val="both"/>
              <w:rPr>
                <w:rStyle w:val="C4"/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1. Державні цільові наукові та науково-технічні програми є основним засобом концентрації науково-технічного потенціалу держави для розв’язання найважливіших природничих, технічних і гуманітарних проблем та реалізації пріоритетних напрямів 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</w:rPr>
              <w:t>наукової, науково-технічної та інноваційної діяльності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. </w:t>
            </w:r>
          </w:p>
        </w:tc>
      </w:tr>
      <w:tr>
        <w:tc>
          <w:tcPr>
            <w:tcW w:w="7508" w:type="dxa"/>
          </w:tcPr>
          <w:p>
            <w:pPr>
              <w:ind w:firstLine="589"/>
              <w:contextualSpacing w:val="1"/>
              <w:jc w:val="both"/>
              <w:rPr>
                <w:rStyle w:val="C5"/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5"/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  <w:t>Розділ VI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5"/>
                <w:rFonts w:ascii="Times New Roman" w:hAnsi="Times New Roman"/>
                <w:b w:val="1"/>
                <w:bCs w:val="1"/>
                <w:color w:val="000000"/>
                <w:sz w:val="28"/>
                <w:szCs w:val="28"/>
                <w:shd w:val="clear" w:color="auto" w:fill="FFFFFF"/>
              </w:rPr>
              <w:t>ПРИКІНЦЕВІ ТА ПЕРЕХІДНІ ПОЛОЖЕННЯ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7) У </w:t>
            </w:r>
            <w:r>
              <w:rPr>
                <w:rStyle w:val="C2"/>
                <w:color w:val="auto"/>
                <w:sz w:val="28"/>
                <w:szCs w:val="28"/>
                <w:u w:val="none"/>
              </w:rPr>
              <w:t>Законі України «Про пріоритетні напрями розвитку науки і техніки»</w:t>
            </w:r>
            <w:r>
              <w:rPr>
                <w:color w:val="000000"/>
                <w:sz w:val="28"/>
                <w:szCs w:val="28"/>
              </w:rPr>
              <w:t> (Відомості Верховної Ради України, 2011 р., № 4, ст. 23; 2014 р., № 2-3, ст. 41):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частину першу статті 4 після слів "Кабінет Міністрів України" доповнити словами "на підставі рекомендацій Національної ради України з питань розвитку науки і технологій";</w:t>
            </w:r>
          </w:p>
          <w:p>
            <w:pPr>
              <w:pStyle w:val="P1"/>
              <w:shd w:val="clear" w:fill="FFFFFF"/>
              <w:spacing w:before="0" w:after="150" w:beforeAutospacing="0" w:afterAutospacing="0"/>
              <w:ind w:firstLine="589"/>
              <w:contextualSpacing w:val="1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частину четверту статті 5 доповнити словами «згідно з рекомендаціями Національної ради України з питань розвитку науки і технологій»;</w:t>
            </w:r>
          </w:p>
        </w:tc>
        <w:tc>
          <w:tcPr>
            <w:tcW w:w="7655" w:type="dxa"/>
          </w:tcPr>
          <w:p>
            <w:pPr>
              <w:ind w:firstLine="589"/>
              <w:contextualSpacing w:val="1"/>
              <w:jc w:val="both"/>
              <w:rPr>
                <w:rStyle w:val="C4"/>
                <w:rFonts w:ascii="Times New Roman" w:hAnsi="Times New Roman"/>
                <w:b w:val="1"/>
                <w:i w:val="1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4"/>
                <w:rFonts w:ascii="Times New Roman" w:hAnsi="Times New Roman"/>
                <w:b w:val="1"/>
                <w:i w:val="1"/>
                <w:color w:val="000000"/>
                <w:sz w:val="28"/>
                <w:szCs w:val="28"/>
                <w:shd w:val="clear" w:color="auto" w:fill="FFFFFF"/>
              </w:rPr>
              <w:t xml:space="preserve">Виключено. </w:t>
            </w:r>
          </w:p>
        </w:tc>
      </w:tr>
    </w:tbl>
    <w:p>
      <w:pPr>
        <w:spacing w:lineRule="auto" w:line="240" w:beforeAutospacing="0" w:afterAutospacing="0"/>
        <w:contextualSpacing w:val="1"/>
        <w:rPr>
          <w:rStyle w:val="C4"/>
          <w:rFonts w:ascii="Times New Roman" w:hAnsi="Times New Roman"/>
          <w:b w:val="1"/>
          <w:bCs w:val="1"/>
          <w:color w:val="000000"/>
          <w:sz w:val="28"/>
          <w:szCs w:val="28"/>
          <w:shd w:val="clear" w:color="auto" w:fill="FFFFFF"/>
        </w:rPr>
      </w:pPr>
    </w:p>
    <w:p>
      <w:pPr>
        <w:spacing w:lineRule="auto" w:line="240" w:beforeAutospacing="0" w:afterAutospacing="0"/>
        <w:contextualSpacing w:val="1"/>
        <w:rPr>
          <w:rStyle w:val="C4"/>
          <w:rFonts w:ascii="Times New Roman" w:hAnsi="Times New Roman"/>
          <w:b w:val="1"/>
          <w:bCs w:val="1"/>
          <w:color w:val="000000"/>
          <w:sz w:val="28"/>
          <w:szCs w:val="28"/>
          <w:shd w:val="clear" w:color="auto" w:fill="FFFFFF"/>
        </w:rPr>
      </w:pPr>
    </w:p>
    <w:p>
      <w:pPr>
        <w:spacing w:lineRule="auto" w:line="240" w:beforeAutospacing="0" w:afterAutospacing="0"/>
        <w:contextualSpacing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1"/>
          <w:bCs w:val="0"/>
          <w:smallCaps w:val="0"/>
          <w:sz w:val="28"/>
          <w:szCs w:val="22"/>
          <w:cs w:val="0"/>
          <w:spacing w:val="0"/>
          <w:w w:val="100"/>
          <w:position w:val="0"/>
          <w:snapToGrid w:val="1"/>
        </w:rPr>
        <w:t>Т. в. о. </w:t>
      </w:r>
      <w:r>
        <w:rPr>
          <w:rFonts w:ascii="Times New Roman" w:hAnsi="Times New Roman"/>
          <w:b w:val="1"/>
          <w:bCs w:val="1"/>
          <w:sz w:val="28"/>
          <w:szCs w:val="28"/>
        </w:rPr>
        <w:t>Міністр</w:t>
      </w:r>
      <w:r>
        <w:rPr>
          <w:rFonts w:ascii="Times New Roman" w:hAnsi="Times New Roman"/>
          <w:b w:val="1"/>
          <w:bCs w:val="0"/>
          <w:smallCaps w:val="0"/>
          <w:sz w:val="28"/>
          <w:szCs w:val="22"/>
          <w:cs w:val="0"/>
          <w:spacing w:val="0"/>
          <w:w w:val="100"/>
          <w:position w:val="0"/>
          <w:snapToGrid w:val="1"/>
        </w:rPr>
        <w:t>а</w:t>
      </w:r>
      <w:r>
        <w:rPr>
          <w:rFonts w:ascii="Times New Roman" w:hAnsi="Times New Roman"/>
          <w:b w:val="1"/>
          <w:bCs w:val="1"/>
          <w:sz w:val="28"/>
          <w:szCs w:val="28"/>
        </w:rPr>
        <w:t xml:space="preserve"> освіти і науки України</w:t>
        <w:tab/>
        <w:tab/>
        <w:tab/>
        <w:tab/>
        <w:tab/>
        <w:tab/>
        <w:tab/>
        <w:tab/>
        <w:tab/>
        <w:tab/>
      </w:r>
      <w:r>
        <w:rPr>
          <w:rFonts w:ascii="Times New Roman" w:hAnsi="Times New Roman"/>
          <w:b w:val="1"/>
          <w:bCs w:val="0"/>
          <w:smallCaps w:val="0"/>
          <w:sz w:val="28"/>
          <w:szCs w:val="22"/>
          <w:cs w:val="0"/>
          <w:spacing w:val="0"/>
          <w:w w:val="100"/>
          <w:position w:val="0"/>
          <w:snapToGrid w:val="1"/>
        </w:rPr>
        <w:t xml:space="preserve">     </w:t>
      </w:r>
      <w:r>
        <w:rPr>
          <w:rFonts w:ascii="Times New Roman" w:hAnsi="Times New Roman"/>
          <w:b w:val="1"/>
          <w:bCs w:val="0"/>
          <w:smallCaps w:val="0"/>
          <w:sz w:val="28"/>
          <w:szCs w:val="22"/>
          <w:cs w:val="0"/>
          <w:spacing w:val="0"/>
          <w:w w:val="100"/>
          <w:position w:val="0"/>
          <w:snapToGrid w:val="1"/>
        </w:rPr>
        <w:t>Андрій ВІТ</w:t>
      </w:r>
      <w:r>
        <w:rPr>
          <w:rFonts w:ascii="Times New Roman" w:hAnsi="Times New Roman"/>
          <w:b w:val="1"/>
          <w:bCs w:val="0"/>
          <w:smallCaps w:val="0"/>
          <w:sz w:val="28"/>
          <w:szCs w:val="22"/>
          <w:cs w:val="0"/>
          <w:spacing w:val="0"/>
          <w:w w:val="100"/>
          <w:position w:val="0"/>
          <w:snapToGrid w:val="1"/>
        </w:rPr>
        <w:t>РЕНКО</w:t>
      </w:r>
    </w:p>
    <w:p>
      <w:pPr>
        <w:spacing w:lineRule="auto" w:line="240" w:beforeAutospacing="0" w:afterAutospacing="0"/>
        <w:contextualSpacing w:val="1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>
      <w:pPr>
        <w:spacing w:lineRule="auto" w:line="240" w:beforeAutospacing="0" w:afterAutospacing="0"/>
        <w:contextualSpacing w:val="1"/>
        <w:rPr>
          <w:rFonts w:ascii="Times New Roman" w:hAnsi="Times New Roman"/>
          <w:sz w:val="28"/>
          <w:szCs w:val="28"/>
        </w:rPr>
      </w:pPr>
    </w:p>
    <w:p>
      <w:pPr>
        <w:spacing w:lineRule="auto" w:line="240" w:beforeAutospacing="0" w:afterAutospacing="0"/>
        <w:contextualSpacing w:val="1"/>
        <w:rPr>
          <w:rStyle w:val="C4"/>
          <w:rFonts w:ascii="Times New Roman" w:hAnsi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 ____ » _____________ 2021 року</w:t>
      </w:r>
    </w:p>
    <w:sectPr>
      <w:type w:val="nextPage"/>
      <w:pgSz w:w="16838" w:h="11906" w:code="0" w:orient="landscape"/>
      <w:pgMar w:left="850" w:right="850" w:top="993" w:bottom="850" w:header="708" w:footer="708" w:gutter="0"/>
      <w:cols w:equalWidth="1" w:space="720"/>
    </w:sectPr>
  </w:body>
</w:document>
</file>

<file path=word/numbering.xml><?xml version="1.0" encoding="utf-8"?>
<w:numbering xmlns:w="http://schemas.openxmlformats.org/wordprocessingml/2006/main">
  <w:abstractNum w:abstractNumId="0">
    <w:nsid w:val="57F512FF"/>
    <w:multiLevelType w:val="hybridMultilevel"/>
    <w:lvl w:ilvl="0" w:tplc="5072AF6A">
      <w:start w:val="1"/>
      <w:numFmt w:val="decimal"/>
      <w:suff w:val="tab"/>
      <w:lvlText w:val="%1."/>
      <w:lvlJc w:val="left"/>
      <w:pPr>
        <w:ind w:hanging="360" w:left="949"/>
      </w:pPr>
      <w:rPr/>
    </w:lvl>
    <w:lvl w:ilvl="1" w:tplc="04220019">
      <w:start w:val="1"/>
      <w:numFmt w:val="lowerLetter"/>
      <w:suff w:val="tab"/>
      <w:lvlText w:val="%2."/>
      <w:lvlJc w:val="left"/>
      <w:pPr>
        <w:ind w:hanging="360" w:left="1669"/>
      </w:pPr>
      <w:rPr/>
    </w:lvl>
    <w:lvl w:ilvl="2" w:tplc="0422001B">
      <w:start w:val="1"/>
      <w:numFmt w:val="lowerRoman"/>
      <w:suff w:val="tab"/>
      <w:lvlText w:val="%3."/>
      <w:lvlJc w:val="right"/>
      <w:pPr>
        <w:ind w:hanging="180" w:left="2389"/>
      </w:pPr>
      <w:rPr/>
    </w:lvl>
    <w:lvl w:ilvl="3" w:tplc="0422000F">
      <w:start w:val="1"/>
      <w:numFmt w:val="decimal"/>
      <w:suff w:val="tab"/>
      <w:lvlText w:val="%4."/>
      <w:lvlJc w:val="left"/>
      <w:pPr>
        <w:ind w:hanging="360" w:left="3109"/>
      </w:pPr>
      <w:rPr/>
    </w:lvl>
    <w:lvl w:ilvl="4" w:tplc="04220019">
      <w:start w:val="1"/>
      <w:numFmt w:val="lowerLetter"/>
      <w:suff w:val="tab"/>
      <w:lvlText w:val="%5."/>
      <w:lvlJc w:val="left"/>
      <w:pPr>
        <w:ind w:hanging="360" w:left="3829"/>
      </w:pPr>
      <w:rPr/>
    </w:lvl>
    <w:lvl w:ilvl="5" w:tplc="0422001B">
      <w:start w:val="1"/>
      <w:numFmt w:val="lowerRoman"/>
      <w:suff w:val="tab"/>
      <w:lvlText w:val="%6."/>
      <w:lvlJc w:val="right"/>
      <w:pPr>
        <w:ind w:hanging="180" w:left="4549"/>
      </w:pPr>
      <w:rPr/>
    </w:lvl>
    <w:lvl w:ilvl="6" w:tplc="0422000F">
      <w:start w:val="1"/>
      <w:numFmt w:val="decimal"/>
      <w:suff w:val="tab"/>
      <w:lvlText w:val="%7."/>
      <w:lvlJc w:val="left"/>
      <w:pPr>
        <w:ind w:hanging="360" w:left="5269"/>
      </w:pPr>
      <w:rPr/>
    </w:lvl>
    <w:lvl w:ilvl="7" w:tplc="04220019">
      <w:start w:val="1"/>
      <w:numFmt w:val="lowerLetter"/>
      <w:suff w:val="tab"/>
      <w:lvlText w:val="%8."/>
      <w:lvlJc w:val="left"/>
      <w:pPr>
        <w:ind w:hanging="360" w:left="5989"/>
      </w:pPr>
      <w:rPr/>
    </w:lvl>
    <w:lvl w:ilvl="8" w:tplc="0422001B">
      <w:start w:val="1"/>
      <w:numFmt w:val="lowerRoman"/>
      <w:suff w:val="tab"/>
      <w:lvlText w:val="%9."/>
      <w:lvlJc w:val="right"/>
      <w:pPr>
        <w:ind w:hanging="180" w:left="6709"/>
      </w:pPr>
      <w:rPr/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hyphenationZone w:val="425"/>
  <w:evenAndOddHeaders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  <w:szCs w:val="22"/>
        <w:lang w:val="uk-UA" w:bidi="ar-SA" w:eastAsia="en-US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/>
  </w:style>
  <w:style w:type="paragraph" w:styleId="P1">
    <w:name w:val="rvps2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  <w:szCs w:val="24"/>
      <w:lang w:eastAsia="uk-UA"/>
    </w:rPr>
  </w:style>
  <w:style w:type="paragraph" w:styleId="P2">
    <w:name w:val="HTML Preformatted"/>
    <w:basedOn w:val="P0"/>
    <w:link w:val="C7"/>
    <w:semiHidden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after="0" w:beforeAutospacing="0" w:afterAutospacing="0"/>
    </w:pPr>
    <w:rPr>
      <w:rFonts w:ascii="Courier New" w:hAnsi="Courier New"/>
      <w:sz w:val="20"/>
      <w:szCs w:val="20"/>
      <w:lang w:eastAsia="uk-UA"/>
    </w:rPr>
  </w:style>
  <w:style w:type="paragraph" w:styleId="P3">
    <w:name w:val="List Paragraph"/>
    <w:basedOn w:val="P0"/>
    <w:qFormat/>
    <w:pPr>
      <w:ind w:left="720"/>
      <w:contextualSpacing w:val="1"/>
    </w:pPr>
    <w:rPr/>
  </w:style>
  <w:style w:type="paragraph" w:styleId="P4">
    <w:name w:val="Balloon Text"/>
    <w:basedOn w:val="P0"/>
    <w:link w:val="C8"/>
    <w:semiHidden/>
    <w:pPr>
      <w:spacing w:lineRule="auto" w:line="240" w:after="0" w:beforeAutospacing="0" w:afterAutospacing="0"/>
    </w:pPr>
    <w:rPr>
      <w:rFonts w:ascii="Segoe UI" w:hAnsi="Segoe UI"/>
      <w:sz w:val="18"/>
      <w:szCs w:val="18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basedOn w:val="C0"/>
    <w:rPr>
      <w:color w:val="0000FF"/>
      <w:u w:val="single"/>
    </w:rPr>
  </w:style>
  <w:style w:type="character" w:styleId="C3">
    <w:name w:val="line number"/>
    <w:basedOn w:val="C0"/>
    <w:semiHidden/>
    <w:rPr/>
  </w:style>
  <w:style w:type="character" w:styleId="C4">
    <w:name w:val="rvts9"/>
    <w:basedOn w:val="C0"/>
    <w:rPr/>
  </w:style>
  <w:style w:type="character" w:styleId="C5">
    <w:name w:val="rvts15"/>
    <w:basedOn w:val="C0"/>
    <w:rPr/>
  </w:style>
  <w:style w:type="character" w:styleId="C6">
    <w:name w:val="rvts46"/>
    <w:basedOn w:val="C0"/>
    <w:rPr/>
  </w:style>
  <w:style w:type="character" w:styleId="C7">
    <w:name w:val="Стандартний HTML Знак"/>
    <w:basedOn w:val="C0"/>
    <w:link w:val="P2"/>
    <w:semiHidden/>
    <w:rPr>
      <w:rFonts w:ascii="Courier New" w:hAnsi="Courier New"/>
      <w:sz w:val="20"/>
      <w:szCs w:val="20"/>
      <w:lang w:eastAsia="uk-UA"/>
    </w:rPr>
  </w:style>
  <w:style w:type="character" w:styleId="C8">
    <w:name w:val="Текст у виносці Знак"/>
    <w:basedOn w:val="C0"/>
    <w:link w:val="P4"/>
    <w:semiHidden/>
    <w:rPr>
      <w:rFonts w:ascii="Segoe UI" w:hAnsi="Segoe UI"/>
      <w:sz w:val="18"/>
      <w:szCs w:val="18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</w:tblPr>
    <w:trPr/>
    <w:tcPr/>
  </w:style>
  <w:style w:type="table" w:styleId="T2">
    <w:name w:val="Table Grid"/>
    <w:basedOn w:val="T0"/>
    <w:pPr>
      <w:spacing w:lineRule="auto" w:line="240" w:after="0" w:beforeAutospacing="0" w:afterAutospacing="0"/>
    </w:p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2" Type="http://schemas.openxmlformats.org/officeDocument/2006/relationships/hyperlink" Target="https://zakon.rada.gov.ua/laws/show/254%D0%BA/96-%D0%B2%D1%80" TargetMode="External" /><Relationship Id="R3" Type="http://schemas.openxmlformats.org/officeDocument/2006/relationships/hyperlink" Target="https://zakon.rada.gov.ua/laws/show/1560-12" TargetMode="External" /><Relationship Id="R4" Type="http://schemas.openxmlformats.org/officeDocument/2006/relationships/hyperlink" Target="https://zakon.rada.gov.ua/laws/show/848-19" TargetMode="External" /><Relationship Id="R5" Type="http://schemas.openxmlformats.org/officeDocument/2006/relationships/hyperlink" Target="https://zakon.rada.gov.ua/laws/show/51/95-%D0%B2%D1%80" TargetMode="External" /><Relationship Id="R6" Type="http://schemas.openxmlformats.org/officeDocument/2006/relationships/hyperlink" Target="https://zakon.rada.gov.ua/laws/show/991-14" TargetMode="External" /><Relationship Id="R7" Type="http://schemas.openxmlformats.org/officeDocument/2006/relationships/hyperlink" Target="https://zakon.rada.gov.ua/laws/show/402-14" TargetMode="External" /><Relationship Id="R8" Type="http://schemas.openxmlformats.org/officeDocument/2006/relationships/hyperlink" Target="https://zakon.rada.gov.ua/laws/show/3715-17" TargetMode="External" /><Relationship Id="R9" Type="http://schemas.openxmlformats.org/officeDocument/2006/relationships/hyperlink" Target="https://zakon.rada.gov.ua/laws/show/254%D0%BA/96-%D0%B2%D1%80" TargetMode="External" /><Relationship Id="RA" Type="http://schemas.openxmlformats.org/officeDocument/2006/relationships/hyperlink" Target="https://zakon.rada.gov.ua/laws/show/1560-12" TargetMode="External" /><Relationship Id="RB" Type="http://schemas.openxmlformats.org/officeDocument/2006/relationships/hyperlink" Target="https://zakon.rada.gov.ua/laws/show/848-19" TargetMode="External" /><Relationship Id="RC" Type="http://schemas.openxmlformats.org/officeDocument/2006/relationships/hyperlink" Target="https://zakon.rada.gov.ua/laws/show/51/95-%D0%B2%D1%80" TargetMode="External" /><Relationship Id="RD" Type="http://schemas.openxmlformats.org/officeDocument/2006/relationships/hyperlink" Target="https://zakon.rada.gov.ua/laws/show/991-14" TargetMode="External" /><Relationship Id="RE" Type="http://schemas.openxmlformats.org/officeDocument/2006/relationships/hyperlink" Target="https://zakon.rada.gov.ua/laws/show/402-14" TargetMode="External" /><Relationship Id="RF" Type="http://schemas.openxmlformats.org/officeDocument/2006/relationships/hyperlink" Target="https://zakon.rada.gov.ua/laws/show/254%D0%BA/96-%D0%B2%D1%80" TargetMode="External" /><Relationship Id="R10" Type="http://schemas.openxmlformats.org/officeDocument/2006/relationships/hyperlink" Target="https://zakon.rada.gov.ua/laws/show/435-15" TargetMode="External" /><Relationship Id="R11" Type="http://schemas.openxmlformats.org/officeDocument/2006/relationships/hyperlink" Target="https://zakon.rada.gov.ua/laws/show/436-15" TargetMode="External" /><Relationship Id="R12" Type="http://schemas.openxmlformats.org/officeDocument/2006/relationships/hyperlink" Target="https://zakon.rada.gov.ua/laws/show/959-12" TargetMode="External" /><Relationship Id="R13" Type="http://schemas.openxmlformats.org/officeDocument/2006/relationships/hyperlink" Target="https://zakon.rada.gov.ua/laws/show/2623-14" TargetMode="External" /><Relationship Id="R14" Type="http://schemas.openxmlformats.org/officeDocument/2006/relationships/hyperlink" Target="https://zakon.rada.gov.ua/laws/show/3715-17" TargetMode="External" /><Relationship Id="R15" Type="http://schemas.openxmlformats.org/officeDocument/2006/relationships/hyperlink" Target="https://zakon.rada.gov.ua/laws/show/51/95-%D0%B2%D1%80" TargetMode="External" /><Relationship Id="R16" Type="http://schemas.openxmlformats.org/officeDocument/2006/relationships/hyperlink" Target="https://zakon.rada.gov.ua/laws/show/1977-12" TargetMode="External" /><Relationship Id="R17" Type="http://schemas.openxmlformats.org/officeDocument/2006/relationships/hyperlink" Target="https://zakon.rada.gov.ua/laws/show/40-15" TargetMode="External" /><Relationship Id="R18" Type="http://schemas.openxmlformats.org/officeDocument/2006/relationships/hyperlink" Target="https://zakon.rada.gov.ua/laws/show/3687-12" TargetMode="External" /><Relationship Id="R19" Type="http://schemas.openxmlformats.org/officeDocument/2006/relationships/hyperlink" Target="https://zakon.rada.gov.ua/laws/show/3688-12" TargetMode="External" /><Relationship Id="R1A" Type="http://schemas.openxmlformats.org/officeDocument/2006/relationships/hyperlink" Target="https://zakon.rada.gov.ua/laws/show/621/97-%D0%B2%D1%80" TargetMode="External" /><Relationship Id="R1B" Type="http://schemas.openxmlformats.org/officeDocument/2006/relationships/hyperlink" Target="https://zakon.rada.gov.ua/laws/show/3792-12" TargetMode="External" /><Relationship Id="R1C" Type="http://schemas.openxmlformats.org/officeDocument/2006/relationships/hyperlink" Target="https://zakon.rada.gov.ua/laws/show/723/97-%D0%B2%D1%80" TargetMode="External" /><Relationship Id="R1D" Type="http://schemas.openxmlformats.org/officeDocument/2006/relationships/hyperlink" Target="https://zakon.rada.gov.ua/laws/show/549-15" TargetMode="External" /><Relationship Id="R1E" Type="http://schemas.openxmlformats.org/officeDocument/2006/relationships/hyperlink" Target="https://zakon.rada.gov.ua/laws/show/3116-12" TargetMode="External" /><Relationship Id="R1F" Type="http://schemas.openxmlformats.org/officeDocument/2006/relationships/hyperlink" Target="https://zakon.rada.gov.ua/laws/show/3689-12" TargetMode="External" /><Relationship Id="R20" Type="http://schemas.openxmlformats.org/officeDocument/2006/relationships/hyperlink" Target="https://zakon.rada.gov.ua/laws/show/236/96-%D0%B2%D1%80" TargetMode="External" /><Relationship Id="R21" Type="http://schemas.openxmlformats.org/officeDocument/2006/relationships/hyperlink" Target="https://zakon.rada.gov.ua/laws/show/254%D0%BA/96-%D0%B2%D1%80" TargetMode="External" /><Relationship Id="R22" Type="http://schemas.openxmlformats.org/officeDocument/2006/relationships/hyperlink" Target="https://zakon.rada.gov.ua/laws/show/435-15" TargetMode="External" /><Relationship Id="R23" Type="http://schemas.openxmlformats.org/officeDocument/2006/relationships/hyperlink" Target="https://zakon.rada.gov.ua/laws/show/436-15" TargetMode="External" /><Relationship Id="R24" Type="http://schemas.openxmlformats.org/officeDocument/2006/relationships/hyperlink" Target="https://zakon.rada.gov.ua/laws/show/959-12" TargetMode="External" /><Relationship Id="R25" Type="http://schemas.openxmlformats.org/officeDocument/2006/relationships/hyperlink" Target="https://zakon.rada.gov.ua/laws/show/51/95-%D0%B2%D1%80" TargetMode="External" /><Relationship Id="R26" Type="http://schemas.openxmlformats.org/officeDocument/2006/relationships/hyperlink" Target="https://zakon.rada.gov.ua/laws/show/1977-12" TargetMode="External" /><Relationship Id="R27" Type="http://schemas.openxmlformats.org/officeDocument/2006/relationships/hyperlink" Target="https://zakon.rada.gov.ua/laws/show/40-15" TargetMode="External" /><Relationship Id="R28" Type="http://schemas.openxmlformats.org/officeDocument/2006/relationships/hyperlink" Target="https://zakon.rada.gov.ua/laws/show/3687-12" TargetMode="External" /><Relationship Id="R29" Type="http://schemas.openxmlformats.org/officeDocument/2006/relationships/hyperlink" Target="https://zakon.rada.gov.ua/laws/show/3688-12" TargetMode="External" /><Relationship Id="R2A" Type="http://schemas.openxmlformats.org/officeDocument/2006/relationships/hyperlink" Target="https://zakon.rada.gov.ua/laws/show/621/97-%D0%B2%D1%80" TargetMode="External" /><Relationship Id="R2B" Type="http://schemas.openxmlformats.org/officeDocument/2006/relationships/hyperlink" Target="https://zakon.rada.gov.ua/laws/show/3792-12" TargetMode="External" /><Relationship Id="R2C" Type="http://schemas.openxmlformats.org/officeDocument/2006/relationships/hyperlink" Target="https://zakon.rada.gov.ua/laws/show/723/97-%D0%B2%D1%80" TargetMode="External" /><Relationship Id="R2D" Type="http://schemas.openxmlformats.org/officeDocument/2006/relationships/hyperlink" Target="https://zakon.rada.gov.ua/laws/show/549-15" TargetMode="External" /><Relationship Id="R2E" Type="http://schemas.openxmlformats.org/officeDocument/2006/relationships/hyperlink" Target="https://zakon.rada.gov.ua/laws/show/3116-12" TargetMode="External" /><Relationship Id="R2F" Type="http://schemas.openxmlformats.org/officeDocument/2006/relationships/hyperlink" Target="https://zakon.rada.gov.ua/laws/show/3689-12" TargetMode="External" /><Relationship Id="R30" Type="http://schemas.openxmlformats.org/officeDocument/2006/relationships/hyperlink" Target="https://zakon.rada.gov.ua/laws/show/236/96-%D0%B2%D1%80" TargetMode="External" /><Relationship Id="R31" Type="http://schemas.openxmlformats.org/officeDocument/2006/relationships/hyperlink" Target="https://zakon.rada.gov.ua/laws/show/3715-17" TargetMode="Externa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Relationship Id="RelItem2" Type="http://schemas.openxmlformats.org/officeDocument/2006/relationships/customXml" Target="../customXml/item2.xml" /><Relationship Id="RelItem3" Type="http://schemas.openxmlformats.org/officeDocument/2006/relationships/customXml" Target="../customXml/item3.xml" 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&#65279;<?xml version="1.0" encoding="utf-8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bIsMainDocument xmlns="b3430434-44e4-4f5b-9097-ec250a9fa10f">true</sbIsMainDocument>
    <_dlc_BarcodeImage xmlns="837afde9-1959-48ec-9623-34f2440a05d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2E94C69DC65AC45A0C04C0EDB492D49" ma:contentTypeVersion="5" ma:contentTypeDescription="Створення нового документа." ma:contentTypeScope="" ma:versionID="f2afb292fafa93b245c6f3a0db76e49e">
  <xsd:schema xmlns:xsd="http://www.w3.org/2001/XMLSchema" xmlns:xs="http://www.w3.org/2001/XMLSchema" xmlns:p="http://schemas.microsoft.com/office/2006/metadata/properties" xmlns:ns2="b3430434-44e4-4f5b-9097-ec250a9fa10f" xmlns:ns3="837afde9-1959-48ec-9623-34f2440a05d7" targetNamespace="http://schemas.microsoft.com/office/2006/metadata/properties" ma:root="true" ma:fieldsID="cf8095c882d982f641e99a694f417697" ns2:_="" ns3:_="">
    <xsd:import namespace="b3430434-44e4-4f5b-9097-ec250a9fa10f"/>
    <xsd:import namespace="837afde9-1959-48ec-9623-34f2440a05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_dlc_BarcodeValue" minOccurs="0"/>
                <xsd:element ref="ns3:_dlc_BarcodeImage" minOccurs="0"/>
                <xsd:element ref="ns3:_dlc_BarcodePreview" minOccurs="0"/>
                <xsd:element ref="ns2:sbIsMainDocum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430434-44e4-4f5b-9097-ec250a9fa1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bIsMainDocument" ma:index="12" nillable="true" ma:displayName="Головний документ" ma:internalName="sbIsMainDocument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afde9-1959-48ec-9623-34f2440a05d7" elementFormDefault="qualified">
    <xsd:import namespace="http://schemas.microsoft.com/office/2006/documentManagement/types"/>
    <xsd:import namespace="http://schemas.microsoft.com/office/infopath/2007/PartnerControls"/>
    <xsd:element name="_dlc_BarcodeValue" ma:index="9" nillable="true" ma:displayName="Значення штрих-коду" ma:description="Призначене елементу значення штрих-коду." ma:internalName="_dlc_BarcodeValue" ma:readOnly="true">
      <xsd:simpleType>
        <xsd:restriction base="dms:Text"/>
      </xsd:simpleType>
    </xsd:element>
    <xsd:element name="_dlc_BarcodeImage" ma:index="10" nillable="true" ma:displayName="Зображення штрих-коду" ma:description="" ma:hidden="true" ma:internalName="_dlc_BarcodeImage" ma:readOnly="false">
      <xsd:simpleType>
        <xsd:restriction base="dms:Note"/>
      </xsd:simpleType>
    </xsd:element>
    <xsd:element name="_dlc_BarcodePreview" ma:index="11" nillable="true" ma:displayName="Штрих-код" ma:description="Штрих-код, призначений цьому елементу" ma:format="Image" ma:hidden="true" ma:internalName="_dlc_BarcodePreview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de29ef-fea4-4360-9857-5e33cd7d2a01}">
  <ds:schemaRefs>
    <ds:schemaRef ds:uri="http://schemas.microsoft.com/vsto/samples"/>
  </ds:schemaRefs>
</ds:datastoreItem>
</file>

<file path=customXml/itemProps2.xml><?xml version="1.0" encoding="utf-8"?>
<ds:datastoreItem xmlns:ds="http://schemas.openxmlformats.org/officeDocument/2006/customXml" ds:itemID="{4f21bdd3-e2d7-41c6-85a9-b53ebe1672e1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523986c4-02ae-44a8-9716-33b6f6444ffa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API/21.1.3.0</Application>
  <AppVersion>21.1</AppVersion>
  <Template>Normal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Asus</dc:creator>
  <dcterms:created xsi:type="dcterms:W3CDTF">2021-10-11T11:04:00Z</dcterms:created>
  <cp:lastModifiedBy>erp_adm</cp:lastModifiedBy>
  <dcterms:modified xsi:type="dcterms:W3CDTF">2021-12-02T12:53:56Z</dcterms:modified>
  <cp:revision>30</cp:revision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ContentTypeId">
    <vt:lpwstr>0x01010042E94C69DC65AC45A0C04C0EDB492D49</vt:lpwstr>
  </property>
</Properties>
</file>