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4A20" w:rsidRPr="00E56635" w:rsidRDefault="00ED4A20" w:rsidP="00ED4A20">
      <w:pPr>
        <w:pStyle w:val="Default"/>
        <w:pBdr>
          <w:top w:val="none" w:sz="0" w:space="0" w:color="auto"/>
          <w:left w:val="none" w:sz="0" w:space="0" w:color="auto"/>
          <w:bottom w:val="none" w:sz="0" w:space="0" w:color="auto"/>
          <w:right w:val="none" w:sz="0" w:space="0" w:color="auto"/>
          <w:bar w:val="none" w:sz="0" w:color="auto"/>
        </w:pBdr>
        <w:ind w:right="141" w:firstLine="567"/>
        <w:jc w:val="center"/>
        <w:rPr>
          <w:rFonts w:ascii="Times New Roman" w:hAnsi="Times New Roman" w:cs="Times New Roman"/>
          <w:b/>
          <w:bCs/>
          <w:color w:val="auto"/>
          <w:sz w:val="28"/>
          <w:szCs w:val="28"/>
        </w:rPr>
      </w:pPr>
      <w:bookmarkStart w:id="0" w:name="_GoBack"/>
      <w:bookmarkEnd w:id="0"/>
      <w:r w:rsidRPr="00E56635">
        <w:rPr>
          <w:rFonts w:ascii="Times New Roman" w:hAnsi="Times New Roman" w:cs="Times New Roman"/>
          <w:b/>
          <w:bCs/>
          <w:color w:val="auto"/>
          <w:sz w:val="28"/>
          <w:szCs w:val="28"/>
        </w:rPr>
        <w:t>ПОЯСНЮВАЛЬНА ЗАПИСКА</w:t>
      </w:r>
    </w:p>
    <w:p w:rsidR="00ED4A20" w:rsidRDefault="00726FF0" w:rsidP="009D1DF7">
      <w:pPr>
        <w:pStyle w:val="Default"/>
        <w:pBdr>
          <w:top w:val="none" w:sz="0" w:space="0" w:color="auto"/>
          <w:left w:val="none" w:sz="0" w:space="0" w:color="auto"/>
          <w:bottom w:val="none" w:sz="0" w:space="0" w:color="auto"/>
          <w:right w:val="none" w:sz="0" w:space="0" w:color="auto"/>
          <w:bar w:val="none" w:sz="0" w:color="auto"/>
        </w:pBdr>
        <w:ind w:right="141" w:firstLine="567"/>
        <w:jc w:val="center"/>
        <w:rPr>
          <w:rFonts w:ascii="Times New Roman" w:hAnsi="Times New Roman" w:cs="Times New Roman"/>
          <w:b/>
          <w:bCs/>
          <w:color w:val="auto"/>
          <w:sz w:val="28"/>
          <w:szCs w:val="28"/>
        </w:rPr>
      </w:pPr>
      <w:r>
        <w:rPr>
          <w:rFonts w:ascii="Times New Roman" w:hAnsi="Times New Roman" w:cs="Times New Roman"/>
          <w:b/>
          <w:bCs/>
          <w:color w:val="auto"/>
          <w:sz w:val="28"/>
          <w:szCs w:val="28"/>
        </w:rPr>
        <w:t>до прое</w:t>
      </w:r>
      <w:r w:rsidR="000201DC">
        <w:rPr>
          <w:rFonts w:ascii="Times New Roman" w:hAnsi="Times New Roman" w:cs="Times New Roman"/>
          <w:b/>
          <w:bCs/>
          <w:color w:val="auto"/>
          <w:sz w:val="28"/>
          <w:szCs w:val="28"/>
        </w:rPr>
        <w:t xml:space="preserve">кту Закону України </w:t>
      </w:r>
      <w:r w:rsidR="000201DC" w:rsidRPr="000201DC">
        <w:rPr>
          <w:rFonts w:ascii="Times New Roman" w:hAnsi="Times New Roman" w:cs="Times New Roman"/>
          <w:b/>
          <w:bCs/>
          <w:color w:val="auto"/>
          <w:sz w:val="28"/>
          <w:szCs w:val="28"/>
        </w:rPr>
        <w:t>«Про внесення змін до Цивільного кодексу України, спрямованих на розширення кола об’єктів цивільних прав»</w:t>
      </w:r>
    </w:p>
    <w:p w:rsidR="000201DC" w:rsidRPr="00E56635" w:rsidRDefault="000201DC" w:rsidP="009D1DF7">
      <w:pPr>
        <w:pStyle w:val="Default"/>
        <w:pBdr>
          <w:top w:val="none" w:sz="0" w:space="0" w:color="auto"/>
          <w:left w:val="none" w:sz="0" w:space="0" w:color="auto"/>
          <w:bottom w:val="none" w:sz="0" w:space="0" w:color="auto"/>
          <w:right w:val="none" w:sz="0" w:space="0" w:color="auto"/>
          <w:bar w:val="none" w:sz="0" w:color="auto"/>
        </w:pBdr>
        <w:ind w:right="141" w:firstLine="567"/>
        <w:jc w:val="center"/>
        <w:rPr>
          <w:rFonts w:ascii="Times New Roman" w:hAnsi="Times New Roman" w:cs="Times New Roman"/>
          <w:b/>
          <w:bCs/>
          <w:color w:val="auto"/>
          <w:sz w:val="28"/>
          <w:szCs w:val="28"/>
        </w:rPr>
      </w:pPr>
    </w:p>
    <w:p w:rsidR="00ED4A20" w:rsidRPr="00E56635" w:rsidRDefault="00ED4A20" w:rsidP="00ED4A20">
      <w:pPr>
        <w:pStyle w:val="Default"/>
        <w:pBdr>
          <w:top w:val="none" w:sz="0" w:space="0" w:color="auto"/>
          <w:left w:val="none" w:sz="0" w:space="0" w:color="auto"/>
          <w:bottom w:val="none" w:sz="0" w:space="0" w:color="auto"/>
          <w:right w:val="none" w:sz="0" w:space="0" w:color="auto"/>
          <w:bar w:val="none" w:sz="0" w:color="auto"/>
        </w:pBdr>
        <w:ind w:right="141" w:firstLine="567"/>
        <w:jc w:val="center"/>
        <w:rPr>
          <w:rFonts w:ascii="Times New Roman" w:hAnsi="Times New Roman"/>
          <w:b/>
          <w:bCs/>
          <w:sz w:val="28"/>
          <w:szCs w:val="28"/>
        </w:rPr>
      </w:pPr>
    </w:p>
    <w:p w:rsidR="00ED4A20" w:rsidRPr="00E56635" w:rsidRDefault="00ED4A20" w:rsidP="00553968">
      <w:pPr>
        <w:pStyle w:val="Default"/>
        <w:numPr>
          <w:ilvl w:val="0"/>
          <w:numId w:val="1"/>
        </w:numPr>
        <w:pBdr>
          <w:top w:val="none" w:sz="0" w:space="0" w:color="auto"/>
          <w:left w:val="none" w:sz="0" w:space="0" w:color="auto"/>
          <w:bottom w:val="none" w:sz="0" w:space="0" w:color="auto"/>
          <w:right w:val="none" w:sz="0" w:space="0" w:color="auto"/>
          <w:bar w:val="none" w:sz="0" w:color="auto"/>
        </w:pBdr>
        <w:ind w:right="141"/>
        <w:jc w:val="both"/>
        <w:rPr>
          <w:rFonts w:ascii="Times New Roman" w:hAnsi="Times New Roman"/>
          <w:b/>
          <w:bCs/>
          <w:sz w:val="28"/>
          <w:szCs w:val="28"/>
        </w:rPr>
      </w:pPr>
      <w:r w:rsidRPr="00E56635">
        <w:rPr>
          <w:rFonts w:ascii="Times New Roman" w:hAnsi="Times New Roman"/>
          <w:b/>
          <w:bCs/>
          <w:sz w:val="28"/>
          <w:szCs w:val="28"/>
        </w:rPr>
        <w:t xml:space="preserve">Обґрунтування необхідності прийняття </w:t>
      </w:r>
      <w:r w:rsidR="00553968" w:rsidRPr="00E56635">
        <w:rPr>
          <w:rFonts w:ascii="Times New Roman" w:hAnsi="Times New Roman"/>
          <w:b/>
          <w:bCs/>
          <w:sz w:val="28"/>
          <w:szCs w:val="28"/>
        </w:rPr>
        <w:t>законопроекту</w:t>
      </w:r>
    </w:p>
    <w:p w:rsidR="000201DC" w:rsidRPr="000201DC" w:rsidRDefault="000201DC" w:rsidP="000201DC">
      <w:pPr>
        <w:pStyle w:val="Default"/>
        <w:ind w:right="141" w:firstLine="567"/>
        <w:jc w:val="both"/>
        <w:rPr>
          <w:rFonts w:ascii="Times New Roman" w:hAnsi="Times New Roman"/>
          <w:bCs/>
          <w:sz w:val="28"/>
          <w:szCs w:val="28"/>
        </w:rPr>
      </w:pPr>
      <w:r w:rsidRPr="000201DC">
        <w:rPr>
          <w:rFonts w:ascii="Times New Roman" w:hAnsi="Times New Roman"/>
          <w:bCs/>
          <w:sz w:val="28"/>
          <w:szCs w:val="28"/>
        </w:rPr>
        <w:t>Безупинний та повсякденний розвиток новітніх інформаційних технологій обумовив появу нових об’єктів цивільних прав, якими є нематеріальними благами, що існують виключно у цифровій формі та покликані задовольняти ті чи інші інтереси учасників цивільних правовідносин. Сьогодні такими об’єктами визначені віртуальні активи, цифрові контенти, онлайнові облікові записи, гроші та цінні папери, що існують виключно у цифровій формі.</w:t>
      </w:r>
    </w:p>
    <w:p w:rsidR="000201DC" w:rsidRPr="000201DC" w:rsidRDefault="000201DC" w:rsidP="000201DC">
      <w:pPr>
        <w:pStyle w:val="Default"/>
        <w:ind w:right="141" w:firstLine="567"/>
        <w:jc w:val="both"/>
        <w:rPr>
          <w:rFonts w:ascii="Times New Roman" w:hAnsi="Times New Roman"/>
          <w:bCs/>
          <w:sz w:val="28"/>
          <w:szCs w:val="28"/>
        </w:rPr>
      </w:pPr>
      <w:r w:rsidRPr="000201DC">
        <w:rPr>
          <w:rFonts w:ascii="Times New Roman" w:hAnsi="Times New Roman"/>
          <w:bCs/>
          <w:sz w:val="28"/>
          <w:szCs w:val="28"/>
        </w:rPr>
        <w:t>Здатність вказаних об’єктів цивільних прав задовольняти інтереси фізичних і юридичних осіб в умовах диджиталізації суспільних відносин та їх залучення до майнового обороту в цифровому середовищі розвитку економіки зумовлює потребу на законодавчому рівні визначити правову природу, юридичні засади функціонування правового режиму цих об’єктів та розробити ефективні правові механізми їх майнового обороту.</w:t>
      </w:r>
    </w:p>
    <w:p w:rsidR="00EC3EDB" w:rsidRPr="000201DC" w:rsidRDefault="000201DC" w:rsidP="000201DC">
      <w:pPr>
        <w:pStyle w:val="Default"/>
        <w:ind w:right="141" w:firstLine="567"/>
        <w:jc w:val="both"/>
        <w:rPr>
          <w:rFonts w:ascii="Times New Roman" w:hAnsi="Times New Roman"/>
          <w:bCs/>
          <w:sz w:val="28"/>
          <w:szCs w:val="28"/>
        </w:rPr>
      </w:pPr>
      <w:r w:rsidRPr="000201DC">
        <w:rPr>
          <w:rFonts w:ascii="Times New Roman" w:hAnsi="Times New Roman"/>
          <w:bCs/>
          <w:sz w:val="28"/>
          <w:szCs w:val="28"/>
        </w:rPr>
        <w:t>З огляду на те, що основним законодавчим актом в Україні, який регулює майнові і особисті немайнові відносини, що засновані на юридичній рівності, вільному волевиявленні, майновій самостійності їх учасників, є Цивільний кодекс України, законопроектом передбачено внести зміни у Книгу першу «Загальні положення» Розділ третій «Об’єкти цивільних прав» цього код</w:t>
      </w:r>
      <w:r>
        <w:rPr>
          <w:rFonts w:ascii="Times New Roman" w:hAnsi="Times New Roman"/>
          <w:bCs/>
          <w:sz w:val="28"/>
          <w:szCs w:val="28"/>
        </w:rPr>
        <w:t>ифікованого акта нашої держави.</w:t>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sidRPr="000201DC">
        <w:rPr>
          <w:rFonts w:ascii="Times New Roman" w:hAnsi="Times New Roman"/>
          <w:bCs/>
          <w:sz w:val="28"/>
          <w:szCs w:val="28"/>
        </w:rPr>
        <w:t xml:space="preserve">Цей законопроект скерований на виконання зобов’язань України за Угодою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одним із яких є імплементація у національне законодавство існуючих актів інститутів ЄС відповідно </w:t>
      </w:r>
      <w:r>
        <w:rPr>
          <w:rFonts w:ascii="Times New Roman" w:hAnsi="Times New Roman"/>
          <w:bCs/>
          <w:sz w:val="28"/>
          <w:szCs w:val="28"/>
        </w:rPr>
        <w:t>до визначених в угоді напрямків.</w:t>
      </w:r>
    </w:p>
    <w:p w:rsidR="00ED4A20" w:rsidRPr="00E56635" w:rsidRDefault="000201DC" w:rsidP="00ED4A20">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
          <w:bCs/>
          <w:sz w:val="28"/>
          <w:szCs w:val="28"/>
        </w:rPr>
      </w:pPr>
      <w:r>
        <w:rPr>
          <w:rFonts w:ascii="Times New Roman" w:hAnsi="Times New Roman"/>
          <w:b/>
          <w:bCs/>
          <w:sz w:val="28"/>
          <w:szCs w:val="28"/>
        </w:rPr>
        <w:t>2. Мета</w:t>
      </w:r>
      <w:r w:rsidR="00173721">
        <w:rPr>
          <w:rFonts w:ascii="Times New Roman" w:hAnsi="Times New Roman"/>
          <w:b/>
          <w:bCs/>
          <w:sz w:val="28"/>
          <w:szCs w:val="28"/>
        </w:rPr>
        <w:t xml:space="preserve"> і завдання прийняття законопрое</w:t>
      </w:r>
      <w:r w:rsidR="00ED4A20" w:rsidRPr="00E56635">
        <w:rPr>
          <w:rFonts w:ascii="Times New Roman" w:hAnsi="Times New Roman"/>
          <w:b/>
          <w:bCs/>
          <w:sz w:val="28"/>
          <w:szCs w:val="28"/>
        </w:rPr>
        <w:t>кту</w:t>
      </w:r>
    </w:p>
    <w:p w:rsidR="00AC306D" w:rsidRDefault="000201DC" w:rsidP="00ED4A20">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0201DC">
        <w:rPr>
          <w:rFonts w:ascii="Times New Roman" w:hAnsi="Times New Roman"/>
          <w:bCs/>
          <w:sz w:val="28"/>
          <w:szCs w:val="28"/>
        </w:rPr>
        <w:t>Метою Законопроекту є об’єктивно зумовлена необхідність розширити на рівні кодифікованого акта перелік об’єктів цивільних прав нематеріальними благами, які перебувають в обороті лише у цифровій формі, та щодо яких можуть виникати цивільні права та обов’язки, задля законодавчого визначення базових нормативних положень у формуванні правового регулювання їх цивільного обороту.</w:t>
      </w:r>
    </w:p>
    <w:p w:rsidR="00F97C17" w:rsidRPr="00E56635" w:rsidRDefault="00F97C17" w:rsidP="00ED4A20">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p>
    <w:p w:rsidR="000201DC" w:rsidRPr="000201DC" w:rsidRDefault="00ED4A20" w:rsidP="000201DC">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
          <w:bCs/>
          <w:sz w:val="28"/>
          <w:szCs w:val="28"/>
        </w:rPr>
      </w:pPr>
      <w:r w:rsidRPr="00E56635">
        <w:rPr>
          <w:rFonts w:ascii="Times New Roman" w:hAnsi="Times New Roman"/>
          <w:b/>
          <w:bCs/>
          <w:sz w:val="28"/>
          <w:szCs w:val="28"/>
        </w:rPr>
        <w:lastRenderedPageBreak/>
        <w:t>3. Загальна характеристика</w:t>
      </w:r>
      <w:r w:rsidR="00173721">
        <w:rPr>
          <w:rFonts w:ascii="Times New Roman" w:hAnsi="Times New Roman"/>
          <w:b/>
          <w:bCs/>
          <w:sz w:val="28"/>
          <w:szCs w:val="28"/>
        </w:rPr>
        <w:t xml:space="preserve"> та основні положення законопрое</w:t>
      </w:r>
      <w:r w:rsidRPr="00E56635">
        <w:rPr>
          <w:rFonts w:ascii="Times New Roman" w:hAnsi="Times New Roman"/>
          <w:b/>
          <w:bCs/>
          <w:sz w:val="28"/>
          <w:szCs w:val="28"/>
        </w:rPr>
        <w:t>кту</w:t>
      </w:r>
      <w:r w:rsidR="000201DC">
        <w:rPr>
          <w:rFonts w:ascii="Times New Roman" w:hAnsi="Times New Roman"/>
          <w:b/>
          <w:bCs/>
          <w:sz w:val="28"/>
          <w:szCs w:val="28"/>
        </w:rPr>
        <w:tab/>
      </w:r>
      <w:r w:rsidR="000201DC" w:rsidRPr="000201DC">
        <w:rPr>
          <w:rFonts w:ascii="Times New Roman" w:hAnsi="Times New Roman"/>
          <w:bCs/>
          <w:sz w:val="28"/>
          <w:szCs w:val="28"/>
        </w:rPr>
        <w:t>Законопроектом передбачено внести зміни до Цивільного кодексу України, зокрема статті 115, 177, 179, яким визначено з поміж інших  об’єктів цивільних прав цифрові речі, їх сутність як предмета цифрового середовища, який перебуває в обороті лише у цифровій формі, та щодо якого можуть виникати цивільні права та обов'язки, а також окреслено коло цифрових речей, якими є віртуальні активи, цифрові контенти, онлайнові облікові записи, гроші та цінні папери, що існують виключно у цифровій формі та поширено на цифрові речі правовий режим матеріальних речей, якщо інше не встановлено цим Кодексом, іншими законами або не випливає із сутності цифрової речі.</w:t>
      </w:r>
    </w:p>
    <w:p w:rsidR="00C81643" w:rsidRDefault="00C81643" w:rsidP="000201DC">
      <w:pPr>
        <w:pStyle w:val="Default"/>
        <w:pBdr>
          <w:top w:val="none" w:sz="0" w:space="0" w:color="auto"/>
          <w:left w:val="none" w:sz="0" w:space="0" w:color="auto"/>
          <w:bottom w:val="none" w:sz="0" w:space="0" w:color="auto"/>
          <w:right w:val="none" w:sz="0" w:space="0" w:color="auto"/>
          <w:bar w:val="none" w:sz="0" w:color="auto"/>
        </w:pBdr>
        <w:ind w:right="141"/>
        <w:jc w:val="both"/>
        <w:rPr>
          <w:rFonts w:ascii="Times New Roman" w:hAnsi="Times New Roman"/>
          <w:bCs/>
          <w:sz w:val="28"/>
          <w:szCs w:val="28"/>
        </w:rPr>
      </w:pPr>
    </w:p>
    <w:p w:rsidR="00ED4A20" w:rsidRPr="000E6D7F" w:rsidRDefault="00ED4A20" w:rsidP="00ED4A20">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
          <w:bCs/>
          <w:sz w:val="28"/>
          <w:szCs w:val="28"/>
        </w:rPr>
      </w:pPr>
      <w:r w:rsidRPr="000E6D7F">
        <w:rPr>
          <w:rFonts w:ascii="Times New Roman" w:hAnsi="Times New Roman"/>
          <w:b/>
          <w:bCs/>
          <w:sz w:val="28"/>
          <w:szCs w:val="28"/>
        </w:rPr>
        <w:t>4. Стан нормативно-правової бази у даній сфері правового регулювання</w:t>
      </w:r>
    </w:p>
    <w:p w:rsidR="000201DC" w:rsidRDefault="000201DC" w:rsidP="00ED4A20">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0201DC">
        <w:rPr>
          <w:rFonts w:ascii="Times New Roman" w:hAnsi="Times New Roman"/>
          <w:bCs/>
          <w:sz w:val="28"/>
          <w:szCs w:val="28"/>
        </w:rPr>
        <w:t>Нормативною базою, яка визначає поняття окремих видів цифрових речей є Закони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«Про ринки капіталу та організовані товарні ринки», «Про віртуальні активи». Втім, жоден із вказаних законодавчих актів не визначає</w:t>
      </w:r>
      <w:r>
        <w:rPr>
          <w:rFonts w:ascii="Times New Roman" w:hAnsi="Times New Roman"/>
          <w:bCs/>
          <w:sz w:val="28"/>
          <w:szCs w:val="28"/>
        </w:rPr>
        <w:t xml:space="preserve"> дане поняття.</w:t>
      </w:r>
    </w:p>
    <w:p w:rsidR="00FE200F" w:rsidRPr="00E56635" w:rsidRDefault="00FE200F" w:rsidP="000201DC">
      <w:pPr>
        <w:pStyle w:val="Default"/>
        <w:pBdr>
          <w:top w:val="none" w:sz="0" w:space="0" w:color="auto"/>
          <w:left w:val="none" w:sz="0" w:space="0" w:color="auto"/>
          <w:bottom w:val="none" w:sz="0" w:space="0" w:color="auto"/>
          <w:right w:val="none" w:sz="0" w:space="0" w:color="auto"/>
          <w:bar w:val="none" w:sz="0" w:color="auto"/>
        </w:pBdr>
        <w:ind w:right="141"/>
        <w:jc w:val="both"/>
        <w:rPr>
          <w:rFonts w:ascii="Times New Roman" w:hAnsi="Times New Roman"/>
          <w:b/>
          <w:bCs/>
          <w:sz w:val="28"/>
          <w:szCs w:val="28"/>
        </w:rPr>
      </w:pPr>
    </w:p>
    <w:p w:rsidR="00ED4A20" w:rsidRPr="000E6D7F" w:rsidRDefault="00ED4A20" w:rsidP="00ED4A20">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
          <w:bCs/>
          <w:sz w:val="28"/>
          <w:szCs w:val="28"/>
        </w:rPr>
      </w:pPr>
      <w:r w:rsidRPr="000E6D7F">
        <w:rPr>
          <w:rFonts w:ascii="Times New Roman" w:hAnsi="Times New Roman"/>
          <w:b/>
          <w:bCs/>
          <w:sz w:val="28"/>
          <w:szCs w:val="28"/>
        </w:rPr>
        <w:t>5. Фінансово-економічне обґрунтування</w:t>
      </w:r>
    </w:p>
    <w:p w:rsidR="000201DC" w:rsidRDefault="000201DC" w:rsidP="00ED4A20">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0201DC">
        <w:rPr>
          <w:rFonts w:ascii="Times New Roman" w:hAnsi="Times New Roman"/>
          <w:bCs/>
          <w:sz w:val="28"/>
          <w:szCs w:val="28"/>
        </w:rPr>
        <w:t>Прийняття законопроекту не потребує додаткових фінансових витрат з Державного та місцевих бюджетів України.</w:t>
      </w:r>
    </w:p>
    <w:p w:rsidR="00ED4A20" w:rsidRPr="00E56635" w:rsidRDefault="00ED4A20" w:rsidP="00ED4A20">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
          <w:bCs/>
          <w:sz w:val="28"/>
          <w:szCs w:val="28"/>
        </w:rPr>
      </w:pPr>
    </w:p>
    <w:p w:rsidR="000201DC" w:rsidRPr="000E6D7F" w:rsidRDefault="000201DC" w:rsidP="000201DC">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
          <w:bCs/>
          <w:sz w:val="28"/>
          <w:szCs w:val="28"/>
        </w:rPr>
      </w:pPr>
      <w:r w:rsidRPr="000E6D7F">
        <w:rPr>
          <w:rFonts w:ascii="Times New Roman" w:hAnsi="Times New Roman"/>
          <w:b/>
          <w:bCs/>
          <w:sz w:val="28"/>
          <w:szCs w:val="28"/>
        </w:rPr>
        <w:t xml:space="preserve">6. </w:t>
      </w:r>
      <w:r w:rsidRPr="000201DC">
        <w:rPr>
          <w:rFonts w:ascii="Times New Roman" w:hAnsi="Times New Roman"/>
          <w:b/>
          <w:bCs/>
          <w:sz w:val="28"/>
          <w:szCs w:val="28"/>
        </w:rPr>
        <w:t>Запобігання корупції</w:t>
      </w:r>
    </w:p>
    <w:p w:rsidR="000201DC" w:rsidRPr="000201DC" w:rsidRDefault="000201DC" w:rsidP="00ED4A20">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0201DC">
        <w:rPr>
          <w:rFonts w:ascii="Times New Roman" w:hAnsi="Times New Roman"/>
          <w:bCs/>
          <w:sz w:val="28"/>
          <w:szCs w:val="28"/>
        </w:rPr>
        <w:t>У проекті Закону немає правил і процедур, які містять ризики вчинення корупційних правопорушень.</w:t>
      </w:r>
    </w:p>
    <w:p w:rsidR="000201DC" w:rsidRDefault="000201DC" w:rsidP="00ED4A20">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
          <w:bCs/>
          <w:sz w:val="28"/>
          <w:szCs w:val="28"/>
        </w:rPr>
      </w:pPr>
    </w:p>
    <w:p w:rsidR="00ED4A20" w:rsidRPr="000E6D7F" w:rsidRDefault="000201DC" w:rsidP="00ED4A20">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
          <w:bCs/>
          <w:sz w:val="28"/>
          <w:szCs w:val="28"/>
        </w:rPr>
      </w:pPr>
      <w:r>
        <w:rPr>
          <w:rFonts w:ascii="Times New Roman" w:hAnsi="Times New Roman"/>
          <w:b/>
          <w:bCs/>
          <w:sz w:val="28"/>
          <w:szCs w:val="28"/>
        </w:rPr>
        <w:t>7</w:t>
      </w:r>
      <w:r w:rsidR="00ED4A20" w:rsidRPr="000E6D7F">
        <w:rPr>
          <w:rFonts w:ascii="Times New Roman" w:hAnsi="Times New Roman"/>
          <w:b/>
          <w:bCs/>
          <w:sz w:val="28"/>
          <w:szCs w:val="28"/>
        </w:rPr>
        <w:t>. Прогноз соціально-економічних, правових та інших наслідків прийняття акта</w:t>
      </w:r>
    </w:p>
    <w:p w:rsidR="000201DC" w:rsidRDefault="000201DC" w:rsidP="00ED4A20">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0201DC">
        <w:rPr>
          <w:rFonts w:ascii="Times New Roman" w:hAnsi="Times New Roman"/>
          <w:bCs/>
          <w:sz w:val="28"/>
          <w:szCs w:val="28"/>
        </w:rPr>
        <w:t>Прийняття відповідного закону сприятиме ефективному здійсненню та захисту прав на віртуальний актив, цифровий контент, онлайновий обліковий запис, гроші та цінні папери, що існують виключно у цифровій формі, а також визначенню чітких тенденцій до формування результативному ринку вказаних немайнових благ.</w:t>
      </w:r>
    </w:p>
    <w:p w:rsidR="00ED4A20" w:rsidRDefault="00ED4A20" w:rsidP="00430745">
      <w:pPr>
        <w:pStyle w:val="Default"/>
        <w:pBdr>
          <w:top w:val="none" w:sz="0" w:space="0" w:color="auto"/>
          <w:left w:val="none" w:sz="0" w:space="0" w:color="auto"/>
          <w:bottom w:val="none" w:sz="0" w:space="0" w:color="auto"/>
          <w:right w:val="none" w:sz="0" w:space="0" w:color="auto"/>
          <w:bar w:val="none" w:sz="0" w:color="auto"/>
        </w:pBdr>
        <w:ind w:right="141"/>
        <w:jc w:val="both"/>
        <w:rPr>
          <w:rFonts w:ascii="Times New Roman" w:eastAsia="Times New Roman" w:hAnsi="Times New Roman" w:cs="Times New Roman"/>
          <w:bCs/>
          <w:color w:val="000000" w:themeColor="text1"/>
          <w:sz w:val="28"/>
          <w:szCs w:val="28"/>
          <w:lang w:eastAsia="ar-SA"/>
        </w:rPr>
      </w:pPr>
    </w:p>
    <w:p w:rsidR="00430745" w:rsidRPr="00B46F3E" w:rsidRDefault="00430745" w:rsidP="00430745">
      <w:pPr>
        <w:pStyle w:val="Default"/>
        <w:pBdr>
          <w:top w:val="none" w:sz="0" w:space="0" w:color="auto"/>
          <w:left w:val="none" w:sz="0" w:space="0" w:color="auto"/>
          <w:bottom w:val="none" w:sz="0" w:space="0" w:color="auto"/>
          <w:right w:val="none" w:sz="0" w:space="0" w:color="auto"/>
          <w:bar w:val="none" w:sz="0" w:color="auto"/>
        </w:pBdr>
        <w:ind w:right="141"/>
        <w:jc w:val="both"/>
        <w:rPr>
          <w:rFonts w:ascii="Times New Roman" w:hAnsi="Times New Roman" w:cs="Times New Roman"/>
          <w:sz w:val="28"/>
          <w:szCs w:val="28"/>
        </w:rPr>
      </w:pPr>
    </w:p>
    <w:p w:rsidR="00ED4A20" w:rsidRPr="00B46F3E" w:rsidRDefault="00422D25" w:rsidP="00422D25">
      <w:pPr>
        <w:pStyle w:val="Default"/>
        <w:pBdr>
          <w:top w:val="none" w:sz="0" w:space="0" w:color="auto"/>
          <w:left w:val="none" w:sz="0" w:space="0" w:color="auto"/>
          <w:bottom w:val="none" w:sz="0" w:space="0" w:color="auto"/>
          <w:right w:val="none" w:sz="0" w:space="0" w:color="auto"/>
          <w:bar w:val="none" w:sz="0" w:color="auto"/>
        </w:pBdr>
        <w:tabs>
          <w:tab w:val="left" w:pos="6521"/>
          <w:tab w:val="left" w:pos="6804"/>
        </w:tabs>
        <w:ind w:right="141"/>
        <w:jc w:val="both"/>
        <w:rPr>
          <w:rFonts w:ascii="Times New Roman" w:hAnsi="Times New Roman" w:cs="Times New Roman"/>
          <w:b/>
          <w:bCs/>
          <w:sz w:val="28"/>
          <w:szCs w:val="28"/>
        </w:rPr>
      </w:pPr>
      <w:r>
        <w:rPr>
          <w:rFonts w:ascii="Times New Roman" w:hAnsi="Times New Roman"/>
          <w:b/>
          <w:bCs/>
          <w:sz w:val="28"/>
          <w:szCs w:val="28"/>
        </w:rPr>
        <w:t xml:space="preserve">Народні депутати </w:t>
      </w:r>
      <w:r w:rsidR="00ED4A20" w:rsidRPr="00B46F3E">
        <w:rPr>
          <w:rFonts w:ascii="Times New Roman" w:hAnsi="Times New Roman"/>
          <w:b/>
          <w:bCs/>
          <w:sz w:val="28"/>
          <w:szCs w:val="28"/>
        </w:rPr>
        <w:t xml:space="preserve">України  </w:t>
      </w:r>
      <w:r w:rsidR="00ED4A20" w:rsidRPr="00B46F3E">
        <w:rPr>
          <w:rFonts w:ascii="Times New Roman" w:hAnsi="Times New Roman"/>
          <w:b/>
          <w:bCs/>
          <w:sz w:val="28"/>
          <w:szCs w:val="28"/>
        </w:rPr>
        <w:tab/>
      </w:r>
      <w:r w:rsidR="00ED4A20" w:rsidRPr="00B46F3E">
        <w:rPr>
          <w:rFonts w:ascii="Times New Roman" w:hAnsi="Times New Roman"/>
          <w:b/>
          <w:bCs/>
          <w:sz w:val="28"/>
          <w:szCs w:val="28"/>
        </w:rPr>
        <w:tab/>
      </w:r>
    </w:p>
    <w:p w:rsidR="00ED4A20" w:rsidRPr="000E6D7F" w:rsidRDefault="00ED4A20">
      <w:pPr>
        <w:rPr>
          <w:highlight w:val="yellow"/>
          <w:lang w:val="uk-UA"/>
        </w:rPr>
      </w:pPr>
    </w:p>
    <w:sectPr w:rsidR="00ED4A20" w:rsidRPr="000E6D7F" w:rsidSect="00F976E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3273FE"/>
    <w:multiLevelType w:val="hybridMultilevel"/>
    <w:tmpl w:val="E24071DE"/>
    <w:lvl w:ilvl="0" w:tplc="62E0886A">
      <w:start w:val="2"/>
      <w:numFmt w:val="bullet"/>
      <w:lvlText w:val="-"/>
      <w:lvlJc w:val="left"/>
      <w:pPr>
        <w:ind w:left="927" w:hanging="360"/>
      </w:pPr>
      <w:rPr>
        <w:rFonts w:ascii="Times New Roman" w:eastAsia="Arial Unicode MS" w:hAnsi="Times New Roman" w:cs="Times New Roman" w:hint="default"/>
        <w:color w:val="000000"/>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5AE67E44"/>
    <w:multiLevelType w:val="hybridMultilevel"/>
    <w:tmpl w:val="14EE6FF8"/>
    <w:lvl w:ilvl="0" w:tplc="F58EDF5A">
      <w:start w:val="1"/>
      <w:numFmt w:val="decimal"/>
      <w:lvlText w:val="%1."/>
      <w:lvlJc w:val="left"/>
      <w:pPr>
        <w:ind w:left="1417" w:hanging="85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7434437A"/>
    <w:multiLevelType w:val="hybridMultilevel"/>
    <w:tmpl w:val="0A165EF2"/>
    <w:lvl w:ilvl="0" w:tplc="655880B4">
      <w:start w:val="3"/>
      <w:numFmt w:val="bullet"/>
      <w:lvlText w:val="-"/>
      <w:lvlJc w:val="left"/>
      <w:pPr>
        <w:ind w:left="927" w:hanging="360"/>
      </w:pPr>
      <w:rPr>
        <w:rFonts w:ascii="Times New Roman" w:eastAsia="Arial Unicode MS"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A20"/>
    <w:rsid w:val="000201DC"/>
    <w:rsid w:val="00023A2E"/>
    <w:rsid w:val="0007010B"/>
    <w:rsid w:val="000C0DF5"/>
    <w:rsid w:val="000D2F92"/>
    <w:rsid w:val="000E6D7F"/>
    <w:rsid w:val="00105DAB"/>
    <w:rsid w:val="00173721"/>
    <w:rsid w:val="001D6C7B"/>
    <w:rsid w:val="001F7C01"/>
    <w:rsid w:val="00232861"/>
    <w:rsid w:val="002C268C"/>
    <w:rsid w:val="002F780F"/>
    <w:rsid w:val="00376198"/>
    <w:rsid w:val="003E489F"/>
    <w:rsid w:val="003F15CE"/>
    <w:rsid w:val="00422D25"/>
    <w:rsid w:val="00430745"/>
    <w:rsid w:val="004420F0"/>
    <w:rsid w:val="00467B99"/>
    <w:rsid w:val="005133C4"/>
    <w:rsid w:val="00515DC3"/>
    <w:rsid w:val="00553968"/>
    <w:rsid w:val="005C6075"/>
    <w:rsid w:val="006D295E"/>
    <w:rsid w:val="00726FF0"/>
    <w:rsid w:val="007D4200"/>
    <w:rsid w:val="00823910"/>
    <w:rsid w:val="0088083E"/>
    <w:rsid w:val="009D1DF7"/>
    <w:rsid w:val="00A030D3"/>
    <w:rsid w:val="00AC306D"/>
    <w:rsid w:val="00B15655"/>
    <w:rsid w:val="00B46F3E"/>
    <w:rsid w:val="00BB0068"/>
    <w:rsid w:val="00BD0F1C"/>
    <w:rsid w:val="00C33DEA"/>
    <w:rsid w:val="00C81643"/>
    <w:rsid w:val="00DD02A2"/>
    <w:rsid w:val="00E01BD1"/>
    <w:rsid w:val="00E56635"/>
    <w:rsid w:val="00E86BEB"/>
    <w:rsid w:val="00EC3EDB"/>
    <w:rsid w:val="00ED4A20"/>
    <w:rsid w:val="00F2343F"/>
    <w:rsid w:val="00F976E7"/>
    <w:rsid w:val="00F97C17"/>
    <w:rsid w:val="00FB4AB4"/>
    <w:rsid w:val="00FE200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915ABD6-4144-4E41-BE1B-9B33F2AE5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76E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ED4A20"/>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Helvetica" w:eastAsia="Arial Unicode MS" w:hAnsi="Helvetica" w:cs="Arial Unicode MS"/>
      <w:color w:val="000000"/>
      <w:lang w:val="uk-UA" w:eastAsia="uk-UA"/>
    </w:rPr>
  </w:style>
  <w:style w:type="character" w:styleId="a3">
    <w:name w:val="Hyperlink"/>
    <w:uiPriority w:val="99"/>
    <w:rsid w:val="00AC306D"/>
    <w:rPr>
      <w:rFonts w:cs="Times New Roman"/>
      <w:u w:val="single"/>
    </w:rPr>
  </w:style>
  <w:style w:type="paragraph" w:customStyle="1" w:styleId="text-right">
    <w:name w:val="text-right"/>
    <w:basedOn w:val="a"/>
    <w:rsid w:val="009D1DF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2">
    <w:name w:val="rvps2"/>
    <w:basedOn w:val="a"/>
    <w:rsid w:val="009D1DF7"/>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aliases w:val="Подглава"/>
    <w:basedOn w:val="a"/>
    <w:link w:val="a5"/>
    <w:uiPriority w:val="34"/>
    <w:qFormat/>
    <w:rsid w:val="009D1DF7"/>
    <w:pPr>
      <w:widowControl w:val="0"/>
      <w:spacing w:after="0" w:line="240" w:lineRule="auto"/>
      <w:ind w:left="720"/>
      <w:contextualSpacing/>
    </w:pPr>
    <w:rPr>
      <w:rFonts w:ascii="Courier New" w:eastAsia="Courier New" w:hAnsi="Courier New" w:cs="Courier New"/>
      <w:color w:val="000000"/>
      <w:sz w:val="24"/>
      <w:szCs w:val="24"/>
      <w:lang w:val="uk-UA"/>
    </w:rPr>
  </w:style>
  <w:style w:type="character" w:customStyle="1" w:styleId="rvts9">
    <w:name w:val="rvts9"/>
    <w:basedOn w:val="a0"/>
    <w:rsid w:val="009D1DF7"/>
  </w:style>
  <w:style w:type="character" w:customStyle="1" w:styleId="a5">
    <w:name w:val="Абзац списку Знак"/>
    <w:aliases w:val="Подглава Знак"/>
    <w:basedOn w:val="a0"/>
    <w:link w:val="a4"/>
    <w:uiPriority w:val="34"/>
    <w:locked/>
    <w:rsid w:val="009D1DF7"/>
    <w:rPr>
      <w:rFonts w:ascii="Courier New" w:eastAsia="Courier New" w:hAnsi="Courier New" w:cs="Courier New"/>
      <w:color w:val="000000"/>
      <w:sz w:val="24"/>
      <w:szCs w:val="24"/>
      <w:lang w:val="uk-UA"/>
    </w:rPr>
  </w:style>
  <w:style w:type="character" w:styleId="a6">
    <w:name w:val="Emphasis"/>
    <w:basedOn w:val="a0"/>
    <w:uiPriority w:val="20"/>
    <w:qFormat/>
    <w:rsid w:val="009D1DF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E22A19-7C66-44F9-8444-F104C7D465D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45B32A9-3C97-449B-866C-2D1C18C01DC3}">
  <ds:schemaRefs>
    <ds:schemaRef ds:uri="http://schemas.microsoft.com/sharepoint/v3/contenttype/forms"/>
  </ds:schemaRefs>
</ds:datastoreItem>
</file>

<file path=customXml/itemProps3.xml><?xml version="1.0" encoding="utf-8"?>
<ds:datastoreItem xmlns:ds="http://schemas.openxmlformats.org/officeDocument/2006/customXml" ds:itemID="{E3221DB5-7C92-4997-964D-B62E1C6C21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2607</Words>
  <Characters>1487</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2021-12-20T09:03:00Z</dcterms:created>
  <dcterms:modified xsi:type="dcterms:W3CDTF">2021-12-20T09:03:00Z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