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E8F3E4" w14:textId="77777777" w:rsidR="002B42F4" w:rsidRPr="00BE436D" w:rsidRDefault="002B42F4" w:rsidP="00415EAE">
      <w:pPr>
        <w:spacing w:line="235" w:lineRule="auto"/>
        <w:jc w:val="center"/>
        <w:rPr>
          <w:b/>
          <w:bCs/>
          <w:spacing w:val="-4"/>
          <w:sz w:val="28"/>
          <w:szCs w:val="28"/>
          <w:lang w:val="uk-UA"/>
        </w:rPr>
      </w:pPr>
      <w:bookmarkStart w:id="0" w:name="_GoBack"/>
      <w:bookmarkEnd w:id="0"/>
      <w:r w:rsidRPr="00BE436D">
        <w:rPr>
          <w:b/>
          <w:bCs/>
          <w:spacing w:val="-4"/>
          <w:sz w:val="28"/>
          <w:szCs w:val="28"/>
          <w:lang w:val="uk-UA"/>
        </w:rPr>
        <w:t>ПОРІВНЯЛЬНА ТАБЛИЦЯ</w:t>
      </w:r>
    </w:p>
    <w:p w14:paraId="04E15B42" w14:textId="77777777" w:rsidR="00BB52CF" w:rsidRPr="00BE436D" w:rsidRDefault="002B42F4" w:rsidP="00415EAE">
      <w:pPr>
        <w:pStyle w:val="a3"/>
        <w:spacing w:line="235" w:lineRule="auto"/>
        <w:jc w:val="center"/>
        <w:rPr>
          <w:b/>
          <w:bCs/>
          <w:spacing w:val="-4"/>
          <w:szCs w:val="28"/>
        </w:rPr>
      </w:pPr>
      <w:r w:rsidRPr="00BE436D">
        <w:rPr>
          <w:b/>
          <w:bCs/>
          <w:spacing w:val="-4"/>
          <w:szCs w:val="28"/>
        </w:rPr>
        <w:t xml:space="preserve">до проекту Закону України </w:t>
      </w:r>
      <w:r w:rsidR="006864F3" w:rsidRPr="00BE436D">
        <w:rPr>
          <w:b/>
          <w:bCs/>
          <w:spacing w:val="-4"/>
          <w:szCs w:val="28"/>
        </w:rPr>
        <w:t>"</w:t>
      </w:r>
      <w:r w:rsidR="003F7336" w:rsidRPr="003F7336">
        <w:rPr>
          <w:b/>
          <w:bCs/>
          <w:spacing w:val="-4"/>
          <w:szCs w:val="28"/>
        </w:rPr>
        <w:t xml:space="preserve">Про </w:t>
      </w:r>
      <w:r w:rsidR="001249DE">
        <w:rPr>
          <w:b/>
          <w:bCs/>
          <w:spacing w:val="-4"/>
          <w:szCs w:val="28"/>
        </w:rPr>
        <w:t>економічний паспорт</w:t>
      </w:r>
      <w:r w:rsidR="006864F3" w:rsidRPr="00BE436D">
        <w:rPr>
          <w:b/>
          <w:bCs/>
          <w:spacing w:val="-4"/>
          <w:szCs w:val="28"/>
        </w:rPr>
        <w:t>"</w:t>
      </w:r>
    </w:p>
    <w:p w14:paraId="547695F8" w14:textId="77777777" w:rsidR="00BE436D" w:rsidRPr="00BE436D" w:rsidRDefault="00BE436D" w:rsidP="00415EAE">
      <w:pPr>
        <w:pStyle w:val="a3"/>
        <w:spacing w:line="235" w:lineRule="auto"/>
        <w:jc w:val="center"/>
        <w:rPr>
          <w:b/>
          <w:bCs/>
          <w:spacing w:val="-4"/>
          <w:szCs w:val="28"/>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1"/>
        <w:gridCol w:w="7371"/>
      </w:tblGrid>
      <w:tr w:rsidR="002B42F4" w:rsidRPr="00BE436D" w14:paraId="7A902F41" w14:textId="77777777" w:rsidTr="00B40C55">
        <w:tc>
          <w:tcPr>
            <w:tcW w:w="7371" w:type="dxa"/>
          </w:tcPr>
          <w:p w14:paraId="64641E43" w14:textId="77777777" w:rsidR="002B42F4" w:rsidRPr="00BE436D" w:rsidRDefault="002B42F4" w:rsidP="00415EAE">
            <w:pPr>
              <w:spacing w:line="235" w:lineRule="auto"/>
              <w:jc w:val="center"/>
              <w:rPr>
                <w:b/>
                <w:spacing w:val="-4"/>
                <w:sz w:val="28"/>
                <w:szCs w:val="28"/>
                <w:lang w:val="uk-UA"/>
              </w:rPr>
            </w:pPr>
            <w:r w:rsidRPr="00BE436D">
              <w:rPr>
                <w:b/>
                <w:spacing w:val="-4"/>
                <w:sz w:val="28"/>
                <w:szCs w:val="28"/>
                <w:lang w:val="uk-UA"/>
              </w:rPr>
              <w:t>Чинна редакція</w:t>
            </w:r>
          </w:p>
        </w:tc>
        <w:tc>
          <w:tcPr>
            <w:tcW w:w="7371" w:type="dxa"/>
          </w:tcPr>
          <w:p w14:paraId="6FE9E201" w14:textId="77777777" w:rsidR="002B42F4" w:rsidRPr="00BE436D" w:rsidRDefault="002B42F4" w:rsidP="00415EAE">
            <w:pPr>
              <w:spacing w:line="235" w:lineRule="auto"/>
              <w:jc w:val="center"/>
              <w:rPr>
                <w:b/>
                <w:spacing w:val="-4"/>
                <w:sz w:val="28"/>
                <w:szCs w:val="28"/>
                <w:lang w:val="uk-UA"/>
              </w:rPr>
            </w:pPr>
            <w:r w:rsidRPr="00BE436D">
              <w:rPr>
                <w:b/>
                <w:spacing w:val="-4"/>
                <w:sz w:val="28"/>
                <w:szCs w:val="28"/>
                <w:lang w:val="uk-UA"/>
              </w:rPr>
              <w:t>Запропонована редакція</w:t>
            </w:r>
          </w:p>
        </w:tc>
      </w:tr>
    </w:tbl>
    <w:p w14:paraId="0871CA3A" w14:textId="77777777" w:rsidR="00F02458" w:rsidRPr="00BE436D" w:rsidRDefault="00F02458" w:rsidP="00415EAE">
      <w:pPr>
        <w:spacing w:line="235" w:lineRule="auto"/>
        <w:rPr>
          <w:spacing w:val="-4"/>
          <w:sz w:val="2"/>
          <w:szCs w:val="2"/>
          <w:lang w:val="uk-UA"/>
        </w:rPr>
      </w:pPr>
    </w:p>
    <w:tbl>
      <w:tblPr>
        <w:tblW w:w="14742"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371"/>
        <w:gridCol w:w="7371"/>
      </w:tblGrid>
      <w:tr w:rsidR="00A119B0" w:rsidRPr="00BE436D" w14:paraId="77194776" w14:textId="77777777" w:rsidTr="00F02458">
        <w:trPr>
          <w:trHeight w:val="277"/>
        </w:trPr>
        <w:tc>
          <w:tcPr>
            <w:tcW w:w="14742" w:type="dxa"/>
            <w:gridSpan w:val="2"/>
            <w:tcBorders>
              <w:top w:val="single" w:sz="4" w:space="0" w:color="auto"/>
              <w:bottom w:val="single" w:sz="4" w:space="0" w:color="auto"/>
            </w:tcBorders>
          </w:tcPr>
          <w:p w14:paraId="1067BF0E" w14:textId="77777777" w:rsidR="00704B0C" w:rsidRPr="001249DE" w:rsidRDefault="001249DE" w:rsidP="001249DE">
            <w:pPr>
              <w:spacing w:before="120" w:after="120" w:line="235" w:lineRule="auto"/>
              <w:jc w:val="center"/>
              <w:rPr>
                <w:b/>
                <w:spacing w:val="-4"/>
                <w:sz w:val="28"/>
                <w:szCs w:val="28"/>
                <w:lang w:val="uk-UA"/>
              </w:rPr>
            </w:pPr>
            <w:r w:rsidRPr="001249DE">
              <w:rPr>
                <w:b/>
                <w:sz w:val="28"/>
                <w:szCs w:val="28"/>
              </w:rPr>
              <w:t xml:space="preserve">Закон України </w:t>
            </w:r>
            <w:r w:rsidRPr="001249DE">
              <w:rPr>
                <w:b/>
                <w:bCs/>
                <w:spacing w:val="-4"/>
                <w:szCs w:val="28"/>
              </w:rPr>
              <w:t>"</w:t>
            </w:r>
            <w:r w:rsidRPr="001249DE">
              <w:rPr>
                <w:b/>
                <w:sz w:val="28"/>
                <w:szCs w:val="28"/>
              </w:rPr>
              <w:t>Про ринки капіталу та організовані товарні ринки</w:t>
            </w:r>
            <w:r w:rsidRPr="001249DE">
              <w:rPr>
                <w:b/>
                <w:bCs/>
                <w:spacing w:val="-4"/>
                <w:szCs w:val="28"/>
              </w:rPr>
              <w:t>"</w:t>
            </w:r>
            <w:r w:rsidRPr="001249DE">
              <w:rPr>
                <w:b/>
                <w:sz w:val="28"/>
                <w:szCs w:val="28"/>
              </w:rPr>
              <w:t xml:space="preserve"> </w:t>
            </w:r>
          </w:p>
        </w:tc>
      </w:tr>
      <w:tr w:rsidR="006A7208" w:rsidRPr="006F349A" w14:paraId="29B62976" w14:textId="77777777" w:rsidTr="00F02458">
        <w:trPr>
          <w:trHeight w:val="562"/>
        </w:trPr>
        <w:tc>
          <w:tcPr>
            <w:tcW w:w="7371" w:type="dxa"/>
            <w:tcBorders>
              <w:top w:val="single" w:sz="4" w:space="0" w:color="auto"/>
              <w:bottom w:val="single" w:sz="4" w:space="0" w:color="auto"/>
            </w:tcBorders>
          </w:tcPr>
          <w:p w14:paraId="1FD76FBB" w14:textId="77777777" w:rsidR="00B3040B" w:rsidRPr="006F349A" w:rsidRDefault="00B3040B" w:rsidP="00B3040B">
            <w:pPr>
              <w:spacing w:before="240" w:after="120" w:line="235" w:lineRule="auto"/>
              <w:ind w:firstLine="342"/>
              <w:rPr>
                <w:b/>
                <w:bCs/>
                <w:spacing w:val="-10"/>
                <w:sz w:val="28"/>
                <w:szCs w:val="28"/>
                <w:lang w:val="uk-UA"/>
              </w:rPr>
            </w:pPr>
            <w:r w:rsidRPr="006F349A">
              <w:rPr>
                <w:b/>
                <w:bCs/>
                <w:spacing w:val="-10"/>
                <w:sz w:val="28"/>
                <w:szCs w:val="28"/>
                <w:lang w:val="uk-UA"/>
              </w:rPr>
              <w:t>Стаття 4. Ринки капіталу</w:t>
            </w:r>
          </w:p>
          <w:p w14:paraId="26E62822"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1. Ринки капіталу - це фондовий ринок, ринок деривативних фінансових інструментів та грошовий ринок.</w:t>
            </w:r>
          </w:p>
          <w:p w14:paraId="669E79F7"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w:t>
            </w:r>
          </w:p>
          <w:p w14:paraId="68B9DBDC"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2. Учасники ринків капіталу - це учасники фондового ринку, учасники ринку деривативних фінансових інструментів та учасники грошового ринку.</w:t>
            </w:r>
          </w:p>
          <w:p w14:paraId="3D346CAD"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Учасники фондового ринку - це емітенти, у тому числі іноземні, або особи, які видали неемісійні цінні папери, особи, які надають забезпечення, інвестори у фінансові інструменти, які набули права власності на цінні папери, адміністратори, професійні учасники ринків капіталу, особи, які провадять діяльність, пов'язану з ринками капіталу та організованими товарними ринками, об'єднання професійних учасників ринків капіталу.</w:t>
            </w:r>
          </w:p>
          <w:p w14:paraId="1F39F5F4"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 xml:space="preserve">Учасники ринку деривативних фінансових інструментів - це емітенти деривативних цінних паперів, інвестори у фінансові інструменти, які є сторонами деривативних контрактів, інвестори у фінансові інструменти, які набули права власності на деривативні цінні папери, професійні учасники ринків капіталу, особи, які провадять діяльність, пов'язану з ринками капіталу та </w:t>
            </w:r>
            <w:r w:rsidRPr="006F349A">
              <w:rPr>
                <w:bCs/>
                <w:spacing w:val="-10"/>
                <w:sz w:val="28"/>
                <w:szCs w:val="28"/>
                <w:lang w:val="uk-UA"/>
              </w:rPr>
              <w:lastRenderedPageBreak/>
              <w:t>організованими товарними ринками, об'єднання професійних учасників ринків капіталу, а також юридичні особи, які провадять діяльність, зазначену в частині шістнадцятій статті 44 цього Закону.</w:t>
            </w:r>
          </w:p>
          <w:p w14:paraId="0D9D4199"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Учасники грошового ринку - це емітенти інструментів грошового ринку, особи, які видали неемісійні інструменти грошового ринку, особи, які надають забезпечення, інвестори у фінансові інструменти, які набули права власності на інструменти грошового ринку, професійні учасники ринків капіталу та особи, які провадять діяльність, пов'язану з ринками капіталу та організованими товарними ринками.</w:t>
            </w:r>
          </w:p>
          <w:p w14:paraId="64EA47A6"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Емітент - це юридична особа, територіальна громада в особі представницького органу місцевого самоврядування, держава в особі уповноважених нею органів державної влади, міжнародна фінансова організація, які від свого імені розміщують емісійні цінні папери та беруть на себе зобов'язання за такими цінними паперами перед їх власниками.</w:t>
            </w:r>
          </w:p>
          <w:p w14:paraId="0ACB8692"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Іноземний емітент - це створена відповідно до законодавства іншої держави юридична особа, що здійснює емісію цінних паперів на території України, або юридична особа, цінні папери якої зареєстровані відповідно до законодавства іншої держави та допуск до обігу на території України яких надано Національною комісією з цінних паперів та фондового ринку.</w:t>
            </w:r>
          </w:p>
          <w:p w14:paraId="3CF64BA8"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 xml:space="preserve">Відповідно до Закону України "Про санкції" можуть бути заборонені або обмежені емісія та обіг цінних паперів емітента, створеного відповідно до законодавства держави, що здійснює збройну агресію проти України, у значенні, наведеному у статті 1 Закону України "Про оборону України", та/або який прямо чи </w:t>
            </w:r>
            <w:r w:rsidRPr="006F349A">
              <w:rPr>
                <w:bCs/>
                <w:spacing w:val="-10"/>
                <w:sz w:val="28"/>
                <w:szCs w:val="28"/>
                <w:lang w:val="uk-UA"/>
              </w:rPr>
              <w:lastRenderedPageBreak/>
              <w:t>опосередковано контролюється особами, які є резидентами зазначеної держави.</w:t>
            </w:r>
          </w:p>
          <w:p w14:paraId="4FC143D9"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Особа, яка видала неемісійний цінний папір, - це фізична особа, у тому числі фізична особа - іноземець, або юридична особа, у тому числі іноземна юридична особа, яка від свого імені видає (заповнює) сертифікат (бланк) неемісійного цінного паперу та бере на себе зобов'язання за таким цінним папером перед його власником.</w:t>
            </w:r>
          </w:p>
          <w:p w14:paraId="4454B12D"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Інвестори у фінансові інструменти - це фізичні та юридичні особи, у тому числі фізичні особи - іноземці та іноземні юридичні особи, які набули права власності на фінансові інструменти з метою отримання доходу від вкладених коштів та/або збереження вартості вкладених активів, та/або набуття відповідних прав, що надаються власнику фінансових інструментів відповідно до законодавства, або в межах виконання повноважень щодо державного управління у відповідній сфері, або які є сторонами деривативних контрактів.</w:t>
            </w:r>
          </w:p>
          <w:p w14:paraId="001DE0EC"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Інституційні інвестори - це інвестори у фінансові інструменти, які є інститутами спільного інвестування (пайовими та корпоративними інвестиційними фондами), інвестиційними фондами, взаємними фондами інвестиційних компаній, недержавними пенсійними фондами, фондами банківського управління, страховими компаніями, іншими фінансовими установами, що здійснюють операції з фінансовими активами в інтересах третіх осіб за власний рахунок чи за рахунок таких осіб, а у випадках, передбачених законодавством, - також за рахунок залучених від інших осіб фінансових активів.</w:t>
            </w:r>
          </w:p>
          <w:p w14:paraId="154A5B7C" w14:textId="77777777" w:rsidR="00203FA2" w:rsidRPr="006F349A" w:rsidRDefault="00203FA2" w:rsidP="001249DE">
            <w:pPr>
              <w:spacing w:line="235" w:lineRule="auto"/>
              <w:ind w:firstLine="342"/>
              <w:jc w:val="both"/>
              <w:rPr>
                <w:bCs/>
                <w:spacing w:val="-10"/>
                <w:sz w:val="28"/>
                <w:szCs w:val="28"/>
                <w:lang w:val="uk-UA"/>
              </w:rPr>
            </w:pPr>
          </w:p>
          <w:p w14:paraId="60A45BCB" w14:textId="77777777" w:rsidR="00203FA2" w:rsidRPr="006F349A" w:rsidRDefault="00203FA2" w:rsidP="001249DE">
            <w:pPr>
              <w:spacing w:line="235" w:lineRule="auto"/>
              <w:ind w:firstLine="342"/>
              <w:jc w:val="both"/>
              <w:rPr>
                <w:bCs/>
                <w:spacing w:val="-10"/>
                <w:sz w:val="28"/>
                <w:szCs w:val="28"/>
                <w:lang w:val="uk-UA"/>
              </w:rPr>
            </w:pPr>
          </w:p>
          <w:p w14:paraId="1C62685A" w14:textId="77777777" w:rsidR="00203FA2" w:rsidRPr="006F349A" w:rsidRDefault="00203FA2" w:rsidP="001249DE">
            <w:pPr>
              <w:spacing w:line="235" w:lineRule="auto"/>
              <w:ind w:firstLine="342"/>
              <w:jc w:val="both"/>
              <w:rPr>
                <w:bCs/>
                <w:spacing w:val="-10"/>
                <w:sz w:val="28"/>
                <w:szCs w:val="28"/>
                <w:lang w:val="uk-UA"/>
              </w:rPr>
            </w:pPr>
          </w:p>
          <w:p w14:paraId="0649F614" w14:textId="77777777" w:rsidR="006F349A" w:rsidRDefault="006F349A" w:rsidP="001249DE">
            <w:pPr>
              <w:spacing w:line="235" w:lineRule="auto"/>
              <w:ind w:firstLine="342"/>
              <w:jc w:val="both"/>
              <w:rPr>
                <w:bCs/>
                <w:spacing w:val="-10"/>
                <w:sz w:val="28"/>
                <w:szCs w:val="28"/>
                <w:lang w:val="uk-UA"/>
              </w:rPr>
            </w:pPr>
          </w:p>
          <w:p w14:paraId="5E720547" w14:textId="77777777" w:rsidR="001249DE"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Особливості інвестування інституційними ін</w:t>
            </w:r>
            <w:r w:rsidR="00203FA2" w:rsidRPr="006F349A">
              <w:rPr>
                <w:bCs/>
                <w:spacing w:val="-10"/>
                <w:sz w:val="28"/>
                <w:szCs w:val="28"/>
                <w:lang w:val="uk-UA"/>
              </w:rPr>
              <w:t>весторами визначаються законом.</w:t>
            </w:r>
          </w:p>
          <w:p w14:paraId="57414E7B"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Кваліфіковані інвестори у фінансові інструменти (професійні клієнти) (далі - кваліфіковані інвестори) - це інвестори у фінансові інструменти, які володіють вміннями, досвідом та знаннями в галузі ринків капіталу, достатніми для прийняття ними самостійних інвестиційних рішень та оцінки ризиків щодо вчинення правочинів щодо фінансових інструментів. Кваліфікованими інвесторами є особи, визначені статтею 6 цього Закону.</w:t>
            </w:r>
          </w:p>
          <w:p w14:paraId="7F6CAEC7"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Саморегулівна організація професійних учасників ринків капіталу - це об'єднання професійних учасників ринків капіталу, що відповідає вимогам, встановленим Національною комісією з цінних паперів та фондового ринку.</w:t>
            </w:r>
          </w:p>
          <w:p w14:paraId="077A104B"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Професійні учасники ринків капіталу - це юридичні особи, що функціонують в організаційно-правовій формі акціонерного товариства, товариства з обмеженою відповідальністю або товариства з додатковою відповідальністю, що провадять на ринках капіталу професійну діяльність, види якої визначені законом. Центральний депозитарій цінних паперів має статус професійного учасника ринків капіталу.</w:t>
            </w:r>
          </w:p>
          <w:p w14:paraId="70CFB46E"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Національний банк України провадить професійну діяльність на ринках капіталу відповідно до закону. Національна комісія з цінних паперів та фондового ринку за погодженням з Національним банком України може встановлювати особливості провадження Національним банком України професійної діяльності на ринках капіталу.</w:t>
            </w:r>
          </w:p>
          <w:p w14:paraId="6B49E016"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lastRenderedPageBreak/>
              <w:t>Професійним учасником ринків капіталу не може бути юридична особа, яка відповідає хоча б одному з таких критеріїв:</w:t>
            </w:r>
          </w:p>
          <w:p w14:paraId="0C269D36"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1) юридична особа створена відповідно до законодавства держави, що здійснює збройну агресію проти України у значенні, наведеному у статті 1 Закону України "Про оборону України";</w:t>
            </w:r>
          </w:p>
          <w:p w14:paraId="4069E5C7"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2) до юридичної особи застосовані санкції відповідно до Закону України "Про санкції";</w:t>
            </w:r>
          </w:p>
          <w:p w14:paraId="39A0CFDF"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3) юридична особа включена до переліку осіб, пов'язаних з провадженням терористичної діяльності або стосовно яких застосовано міжнародні санкції;</w:t>
            </w:r>
          </w:p>
          <w:p w14:paraId="695369E9"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4) юридична особа підконтрольна особам, зазначеним у пунктах 1 - 3 цієї частини, або має таких осіб серед власників істотної участі;</w:t>
            </w:r>
          </w:p>
          <w:p w14:paraId="40130FEC"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5) юридична особа не відповідає вимогам, встановленим законодавством до професійних учасників ринків капіталу.</w:t>
            </w:r>
          </w:p>
          <w:p w14:paraId="3656A960" w14:textId="77777777" w:rsidR="00B3040B" w:rsidRPr="006F349A" w:rsidRDefault="00B3040B" w:rsidP="001249DE">
            <w:pPr>
              <w:spacing w:line="235" w:lineRule="auto"/>
              <w:ind w:firstLine="342"/>
              <w:jc w:val="both"/>
              <w:rPr>
                <w:bCs/>
                <w:spacing w:val="-10"/>
                <w:sz w:val="28"/>
                <w:szCs w:val="28"/>
                <w:lang w:val="uk-UA"/>
              </w:rPr>
            </w:pPr>
            <w:r w:rsidRPr="006F349A">
              <w:rPr>
                <w:bCs/>
                <w:spacing w:val="-10"/>
                <w:sz w:val="28"/>
                <w:szCs w:val="28"/>
                <w:lang w:val="uk-UA"/>
              </w:rPr>
              <w:t>3. Торгівля фінансовими інструментами здійснюється на організованих ринках капіталу та поза ними.</w:t>
            </w:r>
          </w:p>
          <w:p w14:paraId="35AC9D25" w14:textId="77777777" w:rsidR="00B3040B"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w:t>
            </w:r>
          </w:p>
          <w:p w14:paraId="3A15630B" w14:textId="77777777" w:rsidR="00585183" w:rsidRPr="006F349A" w:rsidRDefault="00585183" w:rsidP="00B3040B">
            <w:pPr>
              <w:spacing w:before="240" w:after="120" w:line="235" w:lineRule="auto"/>
              <w:ind w:firstLine="342"/>
              <w:jc w:val="both"/>
              <w:rPr>
                <w:b/>
                <w:bCs/>
                <w:spacing w:val="-10"/>
                <w:sz w:val="28"/>
                <w:szCs w:val="28"/>
                <w:lang w:val="uk-UA"/>
              </w:rPr>
            </w:pPr>
          </w:p>
        </w:tc>
        <w:tc>
          <w:tcPr>
            <w:tcW w:w="7371" w:type="dxa"/>
            <w:tcBorders>
              <w:top w:val="single" w:sz="4" w:space="0" w:color="auto"/>
              <w:bottom w:val="single" w:sz="4" w:space="0" w:color="auto"/>
            </w:tcBorders>
          </w:tcPr>
          <w:p w14:paraId="6185653A" w14:textId="77777777" w:rsidR="001249DE" w:rsidRPr="006F349A" w:rsidRDefault="001249DE" w:rsidP="001249DE">
            <w:pPr>
              <w:spacing w:before="240" w:after="120" w:line="235" w:lineRule="auto"/>
              <w:ind w:firstLine="342"/>
              <w:rPr>
                <w:b/>
                <w:bCs/>
                <w:spacing w:val="-10"/>
                <w:sz w:val="28"/>
                <w:szCs w:val="28"/>
                <w:lang w:val="uk-UA"/>
              </w:rPr>
            </w:pPr>
            <w:r w:rsidRPr="006F349A">
              <w:rPr>
                <w:b/>
                <w:bCs/>
                <w:spacing w:val="-10"/>
                <w:sz w:val="28"/>
                <w:szCs w:val="28"/>
                <w:lang w:val="uk-UA"/>
              </w:rPr>
              <w:lastRenderedPageBreak/>
              <w:t>Стаття 4. Ринки капіталу</w:t>
            </w:r>
          </w:p>
          <w:p w14:paraId="55893FCE"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1. Ринки капіталу - це фондовий ринок, ринок деривативних фінансових інструментів та грошовий ринок.</w:t>
            </w:r>
          </w:p>
          <w:p w14:paraId="0D61A498"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w:t>
            </w:r>
          </w:p>
          <w:p w14:paraId="75F41E20"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2. Учасники ринків капіталу - це учасники фондового ринку, учасники ринку деривативних фінансових інструментів та учасники грошового ринку.</w:t>
            </w:r>
          </w:p>
          <w:p w14:paraId="3134B9B2"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Учасники фондового ринку - це емітенти, у тому числі іноземні, або особи, які видали неемісійні цінні папери, особи, які надають забезпечення, інвестори у фінансові інструменти, які набули права власності на цінні папери, адміністратори, професійні учасники ринків капіталу, особи, які провадять діяльність, пов'язану з ринками капіталу та організованими товарними ринками, об'єднання професійних учасників ринків капіталу.</w:t>
            </w:r>
          </w:p>
          <w:p w14:paraId="4EC4B61C"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 xml:space="preserve">Учасники ринку деривативних фінансових інструментів - це емітенти деривативних цінних паперів, інвестори у фінансові інструменти, які є сторонами деривативних контрактів, інвестори у фінансові інструменти, які набули права власності на деривативні цінні папери, професійні учасники ринків капіталу, особи, які провадять діяльність, пов'язану з ринками капіталу та </w:t>
            </w:r>
            <w:r w:rsidRPr="006F349A">
              <w:rPr>
                <w:bCs/>
                <w:spacing w:val="-10"/>
                <w:sz w:val="28"/>
                <w:szCs w:val="28"/>
                <w:lang w:val="uk-UA"/>
              </w:rPr>
              <w:lastRenderedPageBreak/>
              <w:t>організованими товарними ринками, об'єднання професійних учасників ринків капіталу, а також юридичні особи, які провадять діяльність, зазначену в частині шістнадцятій статті 44 цього Закону.</w:t>
            </w:r>
          </w:p>
          <w:p w14:paraId="6B8B1ED8"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Учасники грошового ринку - це емітенти інструментів грошового ринку, особи, які видали неемісійні інструменти грошового ринку, особи, які надають забезпечення, інвестори у фінансові інструменти, які набули права власності на інструменти грошового ринку, професійні учасники ринків капіталу та особи, які провадять діяльність, пов'язану з ринками капіталу та організованими товарними ринками.</w:t>
            </w:r>
          </w:p>
          <w:p w14:paraId="532B3A08"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Емітент - це юридична особа, територіальна громада в особі представницького органу місцевого самоврядування, держава в особі уповноважених нею органів державної влади, міжнародна фінансова організація, які від свого імені розміщують емісійні цінні папери та беруть на себе зобов'язання за такими цінними паперами перед їх власниками.</w:t>
            </w:r>
          </w:p>
          <w:p w14:paraId="3C5E1E99"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Іноземний емітент - це створена відповідно до законодавства іншої держави юридична особа, що здійснює емісію цінних паперів на території України, або юридична особа, цінні папери якої зареєстровані відповідно до законодавства іншої держави та допуск до обігу на території України яких надано Національною комісією з цінних паперів та фондового ринку.</w:t>
            </w:r>
          </w:p>
          <w:p w14:paraId="01C89752"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 xml:space="preserve">Відповідно до Закону України "Про санкції" можуть бути заборонені або обмежені емісія та обіг цінних паперів емітента, створеного відповідно до законодавства держави, що здійснює збройну агресію проти України, у значенні, наведеному у статті 1 Закону України "Про оборону України", та/або який прямо чи </w:t>
            </w:r>
            <w:r w:rsidRPr="006F349A">
              <w:rPr>
                <w:bCs/>
                <w:spacing w:val="-10"/>
                <w:sz w:val="28"/>
                <w:szCs w:val="28"/>
                <w:lang w:val="uk-UA"/>
              </w:rPr>
              <w:lastRenderedPageBreak/>
              <w:t>опосередковано контролюється особами, які є резидентами зазначеної держави.</w:t>
            </w:r>
          </w:p>
          <w:p w14:paraId="0761E010"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Особа, яка видала неемісійний цінний папір, - це фізична особа, у тому числі фізична особа - іноземець, або юридична особа, у тому числі іноземна юридична особа, яка від свого імені видає (заповнює) сертифікат (бланк) неемісійного цінного паперу та бере на себе зобов'язання за таким цінним папером перед його власником.</w:t>
            </w:r>
          </w:p>
          <w:p w14:paraId="50DD6CED"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Інвестори у фінансові інструменти - це фізичні та юридичні особи, у тому числі фізичні особи - іноземці та іноземні юридичні особи, які набули права власності на фінансові інструменти з метою отримання доходу від вкладених коштів та/або збереження вартості вкладених активів, та/або набуття відповідних прав, що надаються власнику фінансових інструментів відповідно до законодавства, або в межах виконання повноважень щодо державного управління у відповідній сфері, або які є сторонами деривативних контрактів.</w:t>
            </w:r>
          </w:p>
          <w:p w14:paraId="59A8A9E3"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Інституційні інвестори - це інвестори у фінансові інструменти, які є інститутами спільного інвестування (пайовими та корпоративними інвестиційними фондами), інвестиційними фондами, взаємними фондами інвестиційних компаній, недержавними пенсійними фондами, фондами банківського управління, страховими компаніями, іншими фінансовими установами, що здійснюють операції з фінансовими активами в інтересах третіх осіб за власний рахунок чи за рахунок таких осіб, а у випадках, передбачених законодавством, - також за рахунок залучених від інших осіб фінансових активів.</w:t>
            </w:r>
          </w:p>
          <w:p w14:paraId="368A464D" w14:textId="77777777" w:rsidR="001249DE" w:rsidRPr="006F349A" w:rsidRDefault="001249DE" w:rsidP="001249DE">
            <w:pPr>
              <w:spacing w:line="235" w:lineRule="auto"/>
              <w:ind w:firstLine="342"/>
              <w:jc w:val="both"/>
              <w:rPr>
                <w:b/>
                <w:bCs/>
                <w:spacing w:val="-10"/>
                <w:sz w:val="28"/>
                <w:szCs w:val="28"/>
                <w:lang w:val="uk-UA"/>
              </w:rPr>
            </w:pPr>
            <w:r w:rsidRPr="006F349A">
              <w:rPr>
                <w:b/>
                <w:spacing w:val="-10"/>
                <w:sz w:val="28"/>
                <w:szCs w:val="28"/>
                <w:lang w:val="uk-UA"/>
              </w:rPr>
              <w:lastRenderedPageBreak/>
              <w:t>До інституційних інвесторів також належить Фонд майбутніх поколінь, створени</w:t>
            </w:r>
            <w:r w:rsidR="00203FA2" w:rsidRPr="006F349A">
              <w:rPr>
                <w:b/>
                <w:spacing w:val="-10"/>
                <w:sz w:val="28"/>
                <w:szCs w:val="28"/>
                <w:lang w:val="uk-UA"/>
              </w:rPr>
              <w:t xml:space="preserve">й відповідно до Закону України </w:t>
            </w:r>
            <w:r w:rsidR="00203FA2" w:rsidRPr="006F349A">
              <w:rPr>
                <w:b/>
                <w:bCs/>
                <w:spacing w:val="-10"/>
                <w:szCs w:val="28"/>
              </w:rPr>
              <w:t>"</w:t>
            </w:r>
            <w:r w:rsidRPr="006F349A">
              <w:rPr>
                <w:b/>
                <w:spacing w:val="-10"/>
                <w:sz w:val="28"/>
                <w:szCs w:val="28"/>
                <w:lang w:val="uk-UA"/>
              </w:rPr>
              <w:t>Про економічний паспорт</w:t>
            </w:r>
            <w:r w:rsidR="00203FA2" w:rsidRPr="006F349A">
              <w:rPr>
                <w:b/>
                <w:bCs/>
                <w:spacing w:val="-10"/>
                <w:szCs w:val="28"/>
              </w:rPr>
              <w:t>"</w:t>
            </w:r>
            <w:r w:rsidR="00203FA2" w:rsidRPr="006F349A">
              <w:rPr>
                <w:b/>
                <w:bCs/>
                <w:spacing w:val="-10"/>
                <w:szCs w:val="28"/>
                <w:lang w:val="uk-UA"/>
              </w:rPr>
              <w:t>.</w:t>
            </w:r>
          </w:p>
          <w:p w14:paraId="71B7D3D5"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Особливості інвестування інституційними інвесторами визначаються законом.</w:t>
            </w:r>
          </w:p>
          <w:p w14:paraId="344686BE"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Кваліфіковані інвестори у фінансові інструменти (професійні клієнти) (далі - кваліфіковані інвестори) - це інвестори у фінансові інструменти, які володіють вміннями, досвідом та знаннями в галузі ринків капіталу, достатніми для прийняття ними самостійних інвестиційних рішень та оцінки ризиків щодо вчинення правочинів щодо фінансових інструментів. Кваліфікованими інвесторами є особи, визначені статтею 6 цього Закону.</w:t>
            </w:r>
          </w:p>
          <w:p w14:paraId="10AC0450"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Саморегулівна організація професійних учасників ринків капіталу - це об'єднання професійних учасників ринків капіталу, що відповідає вимогам, встановленим Національною комісією з цінних паперів та фондового ринку.</w:t>
            </w:r>
          </w:p>
          <w:p w14:paraId="322E2A02"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Професійні учасники ринків капіталу - це юридичні особи, що функціонують в організаційно-правовій формі акціонерного товариства, товариства з обмеженою відповідальністю або товариства з додатковою відповідальністю, що провадять на ринках капіталу професійну діяльність, види якої визначені законом. Центральний депозитарій цінних паперів має статус професійного учасника ринків капіталу.</w:t>
            </w:r>
          </w:p>
          <w:p w14:paraId="300E6A5D"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 xml:space="preserve">Національний банк України провадить професійну діяльність на ринках капіталу відповідно до закону. Національна комісія з цінних паперів та фондового ринку за погодженням з Національним банком України може встановлювати особливості </w:t>
            </w:r>
            <w:r w:rsidRPr="006F349A">
              <w:rPr>
                <w:bCs/>
                <w:spacing w:val="-10"/>
                <w:sz w:val="28"/>
                <w:szCs w:val="28"/>
                <w:lang w:val="uk-UA"/>
              </w:rPr>
              <w:lastRenderedPageBreak/>
              <w:t>провадження Національним банком України професійної діяльності на ринках капіталу.</w:t>
            </w:r>
          </w:p>
          <w:p w14:paraId="3413513F"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Професійним учасником ринків капіталу не може бути юридична особа, яка відповідає хоча б одному з таких критеріїв:</w:t>
            </w:r>
          </w:p>
          <w:p w14:paraId="6420A118"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1) юридична особа створена відповідно до законодавства держави, що здійснює збройну агресію проти України у значенні, наведеному у статті 1 Закону України "Про оборону України";</w:t>
            </w:r>
          </w:p>
          <w:p w14:paraId="52D1134C"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2) до юридичної особи застосовані санкції відповідно до Закону України "Про санкції";</w:t>
            </w:r>
          </w:p>
          <w:p w14:paraId="39DE34EF"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3) юридична особа включена до переліку осіб, пов'язаних з провадженням терористичної діяльності або стосовно яких застосовано міжнародні санкції;</w:t>
            </w:r>
          </w:p>
          <w:p w14:paraId="1CA18500"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4) юридична особа підконтрольна особам, зазначеним у пунктах 1 - 3 цієї частини, або має таких осіб серед власників істотної участі;</w:t>
            </w:r>
          </w:p>
          <w:p w14:paraId="7B78121C"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5) юридична особа не відповідає вимогам, встановленим законодавством до професійних учасників ринків капіталу.</w:t>
            </w:r>
          </w:p>
          <w:p w14:paraId="485BB674"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3. Торгівля фінансовими інструментами здійснюється на організованих ринках капіталу та поза ними.</w:t>
            </w:r>
          </w:p>
          <w:p w14:paraId="01736AC5" w14:textId="77777777" w:rsidR="001249DE" w:rsidRPr="006F349A" w:rsidRDefault="001249DE" w:rsidP="001249DE">
            <w:pPr>
              <w:spacing w:line="235" w:lineRule="auto"/>
              <w:ind w:firstLine="342"/>
              <w:jc w:val="both"/>
              <w:rPr>
                <w:bCs/>
                <w:spacing w:val="-10"/>
                <w:sz w:val="28"/>
                <w:szCs w:val="28"/>
                <w:lang w:val="uk-UA"/>
              </w:rPr>
            </w:pPr>
            <w:r w:rsidRPr="006F349A">
              <w:rPr>
                <w:bCs/>
                <w:spacing w:val="-10"/>
                <w:sz w:val="28"/>
                <w:szCs w:val="28"/>
                <w:lang w:val="uk-UA"/>
              </w:rPr>
              <w:t>…</w:t>
            </w:r>
          </w:p>
          <w:p w14:paraId="43D3A6E3" w14:textId="77777777" w:rsidR="006A7208" w:rsidRPr="006F349A" w:rsidRDefault="006A7208" w:rsidP="001249DE">
            <w:pPr>
              <w:spacing w:after="120" w:line="235" w:lineRule="auto"/>
              <w:ind w:firstLine="342"/>
              <w:jc w:val="both"/>
              <w:rPr>
                <w:b/>
                <w:bCs/>
                <w:spacing w:val="-10"/>
                <w:sz w:val="28"/>
                <w:szCs w:val="28"/>
                <w:lang w:val="uk-UA"/>
              </w:rPr>
            </w:pPr>
          </w:p>
        </w:tc>
      </w:tr>
    </w:tbl>
    <w:p w14:paraId="4C614E63" w14:textId="77777777" w:rsidR="001E1B26" w:rsidRDefault="001E1B26" w:rsidP="00985960">
      <w:pPr>
        <w:ind w:left="993"/>
        <w:rPr>
          <w:spacing w:val="-4"/>
          <w:lang w:val="uk-UA"/>
        </w:rPr>
      </w:pPr>
    </w:p>
    <w:p w14:paraId="4C09007C" w14:textId="27374416" w:rsidR="00985960" w:rsidRPr="00CA7B53" w:rsidRDefault="00985960" w:rsidP="00BC0B8E">
      <w:pPr>
        <w:rPr>
          <w:b/>
          <w:spacing w:val="-4"/>
          <w:sz w:val="28"/>
          <w:szCs w:val="28"/>
          <w:lang w:val="uk-UA"/>
        </w:rPr>
      </w:pPr>
      <w:r w:rsidRPr="00520112">
        <w:rPr>
          <w:b/>
          <w:spacing w:val="-4"/>
          <w:sz w:val="28"/>
          <w:szCs w:val="28"/>
        </w:rPr>
        <w:t>Народний депутат Укра</w:t>
      </w:r>
      <w:r w:rsidRPr="00520112">
        <w:rPr>
          <w:b/>
          <w:spacing w:val="-4"/>
          <w:sz w:val="28"/>
          <w:szCs w:val="28"/>
          <w:lang w:val="uk-UA"/>
        </w:rPr>
        <w:t>ї</w:t>
      </w:r>
      <w:r w:rsidRPr="00520112">
        <w:rPr>
          <w:b/>
          <w:spacing w:val="-4"/>
          <w:sz w:val="28"/>
          <w:szCs w:val="28"/>
        </w:rPr>
        <w:t>ни</w:t>
      </w:r>
      <w:r w:rsidR="00CA7B53">
        <w:rPr>
          <w:b/>
          <w:spacing w:val="-4"/>
          <w:sz w:val="28"/>
          <w:szCs w:val="28"/>
          <w:lang w:val="uk-UA"/>
        </w:rPr>
        <w:t xml:space="preserve">    </w:t>
      </w:r>
      <w:r w:rsidR="00C240A5">
        <w:rPr>
          <w:b/>
          <w:spacing w:val="-4"/>
          <w:sz w:val="28"/>
          <w:szCs w:val="28"/>
          <w:lang w:val="uk-UA"/>
        </w:rPr>
        <w:t xml:space="preserve">М.М. </w:t>
      </w:r>
      <w:r w:rsidR="00CA7B53">
        <w:rPr>
          <w:b/>
          <w:spacing w:val="-4"/>
          <w:sz w:val="28"/>
          <w:szCs w:val="28"/>
          <w:lang w:val="uk-UA"/>
        </w:rPr>
        <w:t>Цимбалюк</w:t>
      </w:r>
    </w:p>
    <w:sectPr w:rsidR="00985960" w:rsidRPr="00CA7B53" w:rsidSect="00F02458">
      <w:headerReference w:type="even" r:id="rId10"/>
      <w:headerReference w:type="default" r:id="rId11"/>
      <w:footerReference w:type="first" r:id="rId12"/>
      <w:pgSz w:w="16838" w:h="11906" w:orient="landscape" w:code="9"/>
      <w:pgMar w:top="1701" w:right="1134" w:bottom="851" w:left="1134"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6C63B7" w14:textId="77777777" w:rsidR="006546FB" w:rsidRDefault="006546FB">
      <w:r>
        <w:separator/>
      </w:r>
    </w:p>
  </w:endnote>
  <w:endnote w:type="continuationSeparator" w:id="0">
    <w:p w14:paraId="480D276F" w14:textId="77777777" w:rsidR="006546FB" w:rsidRDefault="0065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559336"/>
      <w:docPartObj>
        <w:docPartGallery w:val="Page Numbers (Bottom of Page)"/>
        <w:docPartUnique/>
      </w:docPartObj>
    </w:sdtPr>
    <w:sdtEndPr/>
    <w:sdtContent>
      <w:p w14:paraId="6F496321" w14:textId="7822F0ED" w:rsidR="00E21D21" w:rsidRDefault="00E21D21">
        <w:pPr>
          <w:pStyle w:val="a7"/>
          <w:jc w:val="center"/>
        </w:pPr>
        <w:r>
          <w:fldChar w:fldCharType="begin"/>
        </w:r>
        <w:r>
          <w:instrText>PAGE   \* MERGEFORMAT</w:instrText>
        </w:r>
        <w:r>
          <w:fldChar w:fldCharType="separate"/>
        </w:r>
        <w:r w:rsidR="009F7E13">
          <w:rPr>
            <w:noProof/>
          </w:rPr>
          <w:t>1</w:t>
        </w:r>
        <w:r>
          <w:fldChar w:fldCharType="end"/>
        </w:r>
      </w:p>
    </w:sdtContent>
  </w:sdt>
  <w:p w14:paraId="6D6CD39C" w14:textId="77777777" w:rsidR="00E21D21" w:rsidRDefault="00E21D2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05674" w14:textId="77777777" w:rsidR="006546FB" w:rsidRDefault="006546FB">
      <w:r>
        <w:separator/>
      </w:r>
    </w:p>
  </w:footnote>
  <w:footnote w:type="continuationSeparator" w:id="0">
    <w:p w14:paraId="5FFDB096" w14:textId="77777777" w:rsidR="006546FB" w:rsidRDefault="0065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3077C" w14:textId="77777777" w:rsidR="000E4541" w:rsidRDefault="000E4541" w:rsidP="00D4055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6D0326EA" w14:textId="77777777" w:rsidR="000E4541" w:rsidRDefault="000E4541">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2EF77" w14:textId="2395C9C0" w:rsidR="000E4541" w:rsidRPr="00EA4D71" w:rsidRDefault="000E4541" w:rsidP="00D40553">
    <w:pPr>
      <w:pStyle w:val="a4"/>
      <w:framePr w:wrap="around" w:vAnchor="text" w:hAnchor="margin" w:xAlign="center" w:y="1"/>
      <w:rPr>
        <w:rStyle w:val="a6"/>
        <w:sz w:val="28"/>
        <w:szCs w:val="28"/>
      </w:rPr>
    </w:pPr>
    <w:r w:rsidRPr="00EA4D71">
      <w:rPr>
        <w:rStyle w:val="a6"/>
        <w:sz w:val="28"/>
        <w:szCs w:val="28"/>
      </w:rPr>
      <w:fldChar w:fldCharType="begin"/>
    </w:r>
    <w:r w:rsidRPr="00EA4D71">
      <w:rPr>
        <w:rStyle w:val="a6"/>
        <w:sz w:val="28"/>
        <w:szCs w:val="28"/>
      </w:rPr>
      <w:instrText xml:space="preserve">PAGE  </w:instrText>
    </w:r>
    <w:r w:rsidRPr="00EA4D71">
      <w:rPr>
        <w:rStyle w:val="a6"/>
        <w:sz w:val="28"/>
        <w:szCs w:val="28"/>
      </w:rPr>
      <w:fldChar w:fldCharType="separate"/>
    </w:r>
    <w:r w:rsidR="009F7E13">
      <w:rPr>
        <w:rStyle w:val="a6"/>
        <w:noProof/>
        <w:sz w:val="28"/>
        <w:szCs w:val="28"/>
      </w:rPr>
      <w:t>2</w:t>
    </w:r>
    <w:r w:rsidRPr="00EA4D71">
      <w:rPr>
        <w:rStyle w:val="a6"/>
        <w:sz w:val="28"/>
        <w:szCs w:val="28"/>
      </w:rPr>
      <w:fldChar w:fldCharType="end"/>
    </w:r>
  </w:p>
  <w:p w14:paraId="22B99EC5" w14:textId="77777777" w:rsidR="000E4541" w:rsidRDefault="000E454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6D3"/>
    <w:rsid w:val="00002A8C"/>
    <w:rsid w:val="00003904"/>
    <w:rsid w:val="00011E7E"/>
    <w:rsid w:val="00013882"/>
    <w:rsid w:val="00015615"/>
    <w:rsid w:val="00016194"/>
    <w:rsid w:val="000169EB"/>
    <w:rsid w:val="00021B09"/>
    <w:rsid w:val="000237DF"/>
    <w:rsid w:val="000257BA"/>
    <w:rsid w:val="00030FD1"/>
    <w:rsid w:val="0003180D"/>
    <w:rsid w:val="0003437B"/>
    <w:rsid w:val="0003492D"/>
    <w:rsid w:val="00035794"/>
    <w:rsid w:val="000403FA"/>
    <w:rsid w:val="00042D18"/>
    <w:rsid w:val="00042DF4"/>
    <w:rsid w:val="00043E54"/>
    <w:rsid w:val="0004545E"/>
    <w:rsid w:val="000467D8"/>
    <w:rsid w:val="00052EDB"/>
    <w:rsid w:val="00056397"/>
    <w:rsid w:val="000572EE"/>
    <w:rsid w:val="00066CE0"/>
    <w:rsid w:val="00071131"/>
    <w:rsid w:val="000777D2"/>
    <w:rsid w:val="000803F9"/>
    <w:rsid w:val="00083E9B"/>
    <w:rsid w:val="00086DA5"/>
    <w:rsid w:val="00090E25"/>
    <w:rsid w:val="00091518"/>
    <w:rsid w:val="000A54D0"/>
    <w:rsid w:val="000B0B5A"/>
    <w:rsid w:val="000B2AF3"/>
    <w:rsid w:val="000B4BCC"/>
    <w:rsid w:val="000C2960"/>
    <w:rsid w:val="000C4459"/>
    <w:rsid w:val="000D12A3"/>
    <w:rsid w:val="000D5F34"/>
    <w:rsid w:val="000D77EC"/>
    <w:rsid w:val="000D7E50"/>
    <w:rsid w:val="000D7F53"/>
    <w:rsid w:val="000E0E5C"/>
    <w:rsid w:val="000E4541"/>
    <w:rsid w:val="000E5955"/>
    <w:rsid w:val="000E728D"/>
    <w:rsid w:val="000F11F4"/>
    <w:rsid w:val="000F2508"/>
    <w:rsid w:val="000F68B2"/>
    <w:rsid w:val="00103999"/>
    <w:rsid w:val="00104BAE"/>
    <w:rsid w:val="00113B73"/>
    <w:rsid w:val="0011485E"/>
    <w:rsid w:val="0011575E"/>
    <w:rsid w:val="00116874"/>
    <w:rsid w:val="00124305"/>
    <w:rsid w:val="00124413"/>
    <w:rsid w:val="001249DE"/>
    <w:rsid w:val="00124DA5"/>
    <w:rsid w:val="001258C2"/>
    <w:rsid w:val="00127EBE"/>
    <w:rsid w:val="00130A51"/>
    <w:rsid w:val="00130A79"/>
    <w:rsid w:val="00135B29"/>
    <w:rsid w:val="0013638F"/>
    <w:rsid w:val="00142303"/>
    <w:rsid w:val="001447A9"/>
    <w:rsid w:val="001470AE"/>
    <w:rsid w:val="0016666E"/>
    <w:rsid w:val="00174CE5"/>
    <w:rsid w:val="001808F2"/>
    <w:rsid w:val="00183FB3"/>
    <w:rsid w:val="00186CC2"/>
    <w:rsid w:val="00190398"/>
    <w:rsid w:val="00191523"/>
    <w:rsid w:val="00194DF8"/>
    <w:rsid w:val="001977A1"/>
    <w:rsid w:val="001A1021"/>
    <w:rsid w:val="001A2300"/>
    <w:rsid w:val="001A4161"/>
    <w:rsid w:val="001A5364"/>
    <w:rsid w:val="001A77FA"/>
    <w:rsid w:val="001A7C3C"/>
    <w:rsid w:val="001A7C6E"/>
    <w:rsid w:val="001A7CD7"/>
    <w:rsid w:val="001B22AB"/>
    <w:rsid w:val="001B2AF9"/>
    <w:rsid w:val="001B5E6F"/>
    <w:rsid w:val="001C76FE"/>
    <w:rsid w:val="001D3FF0"/>
    <w:rsid w:val="001D6CA4"/>
    <w:rsid w:val="001D7A97"/>
    <w:rsid w:val="001E0EFF"/>
    <w:rsid w:val="001E1B26"/>
    <w:rsid w:val="001E379E"/>
    <w:rsid w:val="001E6715"/>
    <w:rsid w:val="001F3897"/>
    <w:rsid w:val="001F4B7C"/>
    <w:rsid w:val="001F4E66"/>
    <w:rsid w:val="00201FA8"/>
    <w:rsid w:val="00203FA2"/>
    <w:rsid w:val="00205AC2"/>
    <w:rsid w:val="00205B13"/>
    <w:rsid w:val="00205F2E"/>
    <w:rsid w:val="002131A9"/>
    <w:rsid w:val="00217171"/>
    <w:rsid w:val="00222D3C"/>
    <w:rsid w:val="0022480D"/>
    <w:rsid w:val="00232CBF"/>
    <w:rsid w:val="002338DA"/>
    <w:rsid w:val="0023737A"/>
    <w:rsid w:val="00242814"/>
    <w:rsid w:val="00250282"/>
    <w:rsid w:val="00254A45"/>
    <w:rsid w:val="00256EC5"/>
    <w:rsid w:val="00256EEC"/>
    <w:rsid w:val="002570F6"/>
    <w:rsid w:val="00257162"/>
    <w:rsid w:val="00262C48"/>
    <w:rsid w:val="00266202"/>
    <w:rsid w:val="002673A0"/>
    <w:rsid w:val="00275053"/>
    <w:rsid w:val="00277677"/>
    <w:rsid w:val="00284BE3"/>
    <w:rsid w:val="002911F2"/>
    <w:rsid w:val="0029284D"/>
    <w:rsid w:val="00294AB4"/>
    <w:rsid w:val="002A4970"/>
    <w:rsid w:val="002A4DCF"/>
    <w:rsid w:val="002A543E"/>
    <w:rsid w:val="002B4207"/>
    <w:rsid w:val="002B42F4"/>
    <w:rsid w:val="002B4E7D"/>
    <w:rsid w:val="002B6D05"/>
    <w:rsid w:val="002B725D"/>
    <w:rsid w:val="002C3AB8"/>
    <w:rsid w:val="002C4019"/>
    <w:rsid w:val="002C40EA"/>
    <w:rsid w:val="002C505A"/>
    <w:rsid w:val="002C53D7"/>
    <w:rsid w:val="002C5EAD"/>
    <w:rsid w:val="002D3205"/>
    <w:rsid w:val="002D6EA1"/>
    <w:rsid w:val="002E5169"/>
    <w:rsid w:val="002F590B"/>
    <w:rsid w:val="002F681D"/>
    <w:rsid w:val="00305DDB"/>
    <w:rsid w:val="00305F5F"/>
    <w:rsid w:val="003123B6"/>
    <w:rsid w:val="00315B70"/>
    <w:rsid w:val="0031781C"/>
    <w:rsid w:val="00327D26"/>
    <w:rsid w:val="0033033D"/>
    <w:rsid w:val="003325D5"/>
    <w:rsid w:val="00333DE4"/>
    <w:rsid w:val="00336CFA"/>
    <w:rsid w:val="00337CAD"/>
    <w:rsid w:val="00337DFD"/>
    <w:rsid w:val="003459D8"/>
    <w:rsid w:val="00346102"/>
    <w:rsid w:val="00347285"/>
    <w:rsid w:val="0035084D"/>
    <w:rsid w:val="0035136D"/>
    <w:rsid w:val="00351CAB"/>
    <w:rsid w:val="003563F2"/>
    <w:rsid w:val="003611CA"/>
    <w:rsid w:val="00365406"/>
    <w:rsid w:val="0036720D"/>
    <w:rsid w:val="00371991"/>
    <w:rsid w:val="00377224"/>
    <w:rsid w:val="0037771A"/>
    <w:rsid w:val="0038073A"/>
    <w:rsid w:val="003816DE"/>
    <w:rsid w:val="0038621B"/>
    <w:rsid w:val="003908B5"/>
    <w:rsid w:val="003919DB"/>
    <w:rsid w:val="0039361B"/>
    <w:rsid w:val="00395278"/>
    <w:rsid w:val="003953C7"/>
    <w:rsid w:val="003A5710"/>
    <w:rsid w:val="003B3B2E"/>
    <w:rsid w:val="003D42AF"/>
    <w:rsid w:val="003D49C0"/>
    <w:rsid w:val="003E1283"/>
    <w:rsid w:val="003E1A06"/>
    <w:rsid w:val="003F14B1"/>
    <w:rsid w:val="003F7336"/>
    <w:rsid w:val="003F7856"/>
    <w:rsid w:val="003F7A02"/>
    <w:rsid w:val="00405875"/>
    <w:rsid w:val="004104AA"/>
    <w:rsid w:val="00412A69"/>
    <w:rsid w:val="004150F1"/>
    <w:rsid w:val="00415EAE"/>
    <w:rsid w:val="0043074A"/>
    <w:rsid w:val="00430E4F"/>
    <w:rsid w:val="004356C9"/>
    <w:rsid w:val="004363ED"/>
    <w:rsid w:val="00441256"/>
    <w:rsid w:val="004423B9"/>
    <w:rsid w:val="00442FAD"/>
    <w:rsid w:val="00447E85"/>
    <w:rsid w:val="00452FD7"/>
    <w:rsid w:val="00453977"/>
    <w:rsid w:val="00455C39"/>
    <w:rsid w:val="00456B20"/>
    <w:rsid w:val="004605A1"/>
    <w:rsid w:val="00462501"/>
    <w:rsid w:val="00462880"/>
    <w:rsid w:val="00464B7E"/>
    <w:rsid w:val="00467A24"/>
    <w:rsid w:val="00470883"/>
    <w:rsid w:val="00473E24"/>
    <w:rsid w:val="0047470E"/>
    <w:rsid w:val="00475284"/>
    <w:rsid w:val="00475423"/>
    <w:rsid w:val="0047767F"/>
    <w:rsid w:val="0047779E"/>
    <w:rsid w:val="00477DA1"/>
    <w:rsid w:val="00482FFA"/>
    <w:rsid w:val="00492591"/>
    <w:rsid w:val="00495CC2"/>
    <w:rsid w:val="00496CD3"/>
    <w:rsid w:val="00497DD0"/>
    <w:rsid w:val="004A0614"/>
    <w:rsid w:val="004A0F02"/>
    <w:rsid w:val="004A30F4"/>
    <w:rsid w:val="004A36D3"/>
    <w:rsid w:val="004A4A40"/>
    <w:rsid w:val="004A5A69"/>
    <w:rsid w:val="004B44C3"/>
    <w:rsid w:val="004B50C5"/>
    <w:rsid w:val="004B7A6E"/>
    <w:rsid w:val="004B7FDD"/>
    <w:rsid w:val="004C20B0"/>
    <w:rsid w:val="004C4CC7"/>
    <w:rsid w:val="004C54E3"/>
    <w:rsid w:val="004C6F9F"/>
    <w:rsid w:val="004D034D"/>
    <w:rsid w:val="004D05E1"/>
    <w:rsid w:val="004D0FA4"/>
    <w:rsid w:val="004D2860"/>
    <w:rsid w:val="004D2993"/>
    <w:rsid w:val="004D4893"/>
    <w:rsid w:val="004E04AC"/>
    <w:rsid w:val="004E06D5"/>
    <w:rsid w:val="004E1924"/>
    <w:rsid w:val="004E3CE5"/>
    <w:rsid w:val="004E4116"/>
    <w:rsid w:val="004E4B12"/>
    <w:rsid w:val="004E72C0"/>
    <w:rsid w:val="004F4C89"/>
    <w:rsid w:val="004F562E"/>
    <w:rsid w:val="00500D10"/>
    <w:rsid w:val="005114E2"/>
    <w:rsid w:val="00514F1C"/>
    <w:rsid w:val="00515436"/>
    <w:rsid w:val="00520112"/>
    <w:rsid w:val="00520F42"/>
    <w:rsid w:val="0052604D"/>
    <w:rsid w:val="00526A92"/>
    <w:rsid w:val="005311F4"/>
    <w:rsid w:val="00533BD7"/>
    <w:rsid w:val="00534F55"/>
    <w:rsid w:val="005423BD"/>
    <w:rsid w:val="0054317A"/>
    <w:rsid w:val="00543EC8"/>
    <w:rsid w:val="00555715"/>
    <w:rsid w:val="00557066"/>
    <w:rsid w:val="00561F26"/>
    <w:rsid w:val="005633CF"/>
    <w:rsid w:val="00567B94"/>
    <w:rsid w:val="00571E81"/>
    <w:rsid w:val="00574D3F"/>
    <w:rsid w:val="00575D39"/>
    <w:rsid w:val="00576776"/>
    <w:rsid w:val="005768E6"/>
    <w:rsid w:val="00585183"/>
    <w:rsid w:val="00585B1E"/>
    <w:rsid w:val="00586140"/>
    <w:rsid w:val="005879B3"/>
    <w:rsid w:val="00587AEA"/>
    <w:rsid w:val="005929DC"/>
    <w:rsid w:val="005A6813"/>
    <w:rsid w:val="005B0BB1"/>
    <w:rsid w:val="005B3C8C"/>
    <w:rsid w:val="005B7994"/>
    <w:rsid w:val="005C0807"/>
    <w:rsid w:val="005C1BA4"/>
    <w:rsid w:val="005C574C"/>
    <w:rsid w:val="005C6418"/>
    <w:rsid w:val="005D0738"/>
    <w:rsid w:val="005D208E"/>
    <w:rsid w:val="005D4B4A"/>
    <w:rsid w:val="005D5A07"/>
    <w:rsid w:val="005D5FC4"/>
    <w:rsid w:val="005D7F1A"/>
    <w:rsid w:val="005E096C"/>
    <w:rsid w:val="005E0E2B"/>
    <w:rsid w:val="005F51AB"/>
    <w:rsid w:val="005F6753"/>
    <w:rsid w:val="005F7355"/>
    <w:rsid w:val="00600906"/>
    <w:rsid w:val="006048AB"/>
    <w:rsid w:val="00606007"/>
    <w:rsid w:val="00607BCB"/>
    <w:rsid w:val="00610453"/>
    <w:rsid w:val="006114D3"/>
    <w:rsid w:val="00611547"/>
    <w:rsid w:val="00615F59"/>
    <w:rsid w:val="00617000"/>
    <w:rsid w:val="00624420"/>
    <w:rsid w:val="0062716E"/>
    <w:rsid w:val="00645F91"/>
    <w:rsid w:val="0065039A"/>
    <w:rsid w:val="00650DB7"/>
    <w:rsid w:val="00651091"/>
    <w:rsid w:val="00653D02"/>
    <w:rsid w:val="006546FB"/>
    <w:rsid w:val="0066203D"/>
    <w:rsid w:val="00667208"/>
    <w:rsid w:val="00673376"/>
    <w:rsid w:val="00677DC0"/>
    <w:rsid w:val="006826D0"/>
    <w:rsid w:val="006864F3"/>
    <w:rsid w:val="0068701D"/>
    <w:rsid w:val="006A0FC4"/>
    <w:rsid w:val="006A2636"/>
    <w:rsid w:val="006A7024"/>
    <w:rsid w:val="006A7208"/>
    <w:rsid w:val="006B0C94"/>
    <w:rsid w:val="006B1ED1"/>
    <w:rsid w:val="006B380F"/>
    <w:rsid w:val="006B5035"/>
    <w:rsid w:val="006B62F3"/>
    <w:rsid w:val="006C0E1A"/>
    <w:rsid w:val="006C27CA"/>
    <w:rsid w:val="006C367C"/>
    <w:rsid w:val="006D3A7D"/>
    <w:rsid w:val="006D6ED3"/>
    <w:rsid w:val="006E0965"/>
    <w:rsid w:val="006E305A"/>
    <w:rsid w:val="006E3E67"/>
    <w:rsid w:val="006F14F2"/>
    <w:rsid w:val="006F19BD"/>
    <w:rsid w:val="006F2389"/>
    <w:rsid w:val="006F349A"/>
    <w:rsid w:val="006F3AA8"/>
    <w:rsid w:val="006F5ABA"/>
    <w:rsid w:val="006F62D0"/>
    <w:rsid w:val="006F6CE5"/>
    <w:rsid w:val="00704B0C"/>
    <w:rsid w:val="007069F6"/>
    <w:rsid w:val="0071001D"/>
    <w:rsid w:val="00711346"/>
    <w:rsid w:val="00712EEC"/>
    <w:rsid w:val="0071498B"/>
    <w:rsid w:val="00715480"/>
    <w:rsid w:val="0072119C"/>
    <w:rsid w:val="007250E9"/>
    <w:rsid w:val="00725798"/>
    <w:rsid w:val="007307AA"/>
    <w:rsid w:val="00730DE6"/>
    <w:rsid w:val="00731A7F"/>
    <w:rsid w:val="00732154"/>
    <w:rsid w:val="00736B5A"/>
    <w:rsid w:val="00737C4B"/>
    <w:rsid w:val="0074423A"/>
    <w:rsid w:val="007447FC"/>
    <w:rsid w:val="00745024"/>
    <w:rsid w:val="0075015D"/>
    <w:rsid w:val="007503AE"/>
    <w:rsid w:val="00750A90"/>
    <w:rsid w:val="0075223A"/>
    <w:rsid w:val="00754D05"/>
    <w:rsid w:val="007624D8"/>
    <w:rsid w:val="007654B2"/>
    <w:rsid w:val="0076589D"/>
    <w:rsid w:val="00765F21"/>
    <w:rsid w:val="00766B0B"/>
    <w:rsid w:val="007723D7"/>
    <w:rsid w:val="00775AAB"/>
    <w:rsid w:val="007760FA"/>
    <w:rsid w:val="007845DC"/>
    <w:rsid w:val="00792186"/>
    <w:rsid w:val="00797F4F"/>
    <w:rsid w:val="007A00C6"/>
    <w:rsid w:val="007A5478"/>
    <w:rsid w:val="007A564B"/>
    <w:rsid w:val="007A57E6"/>
    <w:rsid w:val="007A67B5"/>
    <w:rsid w:val="007A7C6A"/>
    <w:rsid w:val="007B4B30"/>
    <w:rsid w:val="007B57A2"/>
    <w:rsid w:val="007C68A1"/>
    <w:rsid w:val="007C6F66"/>
    <w:rsid w:val="007D047D"/>
    <w:rsid w:val="007D15BC"/>
    <w:rsid w:val="007D2537"/>
    <w:rsid w:val="007D2F6E"/>
    <w:rsid w:val="007E2FFF"/>
    <w:rsid w:val="007E50D8"/>
    <w:rsid w:val="007F0196"/>
    <w:rsid w:val="007F1F56"/>
    <w:rsid w:val="007F4086"/>
    <w:rsid w:val="008019F8"/>
    <w:rsid w:val="00802745"/>
    <w:rsid w:val="00804AF8"/>
    <w:rsid w:val="008101A9"/>
    <w:rsid w:val="00812347"/>
    <w:rsid w:val="00813976"/>
    <w:rsid w:val="00816DEB"/>
    <w:rsid w:val="00816DF6"/>
    <w:rsid w:val="00817B38"/>
    <w:rsid w:val="008236C5"/>
    <w:rsid w:val="0082533C"/>
    <w:rsid w:val="00827F85"/>
    <w:rsid w:val="0083017E"/>
    <w:rsid w:val="008337F5"/>
    <w:rsid w:val="00833992"/>
    <w:rsid w:val="00835B93"/>
    <w:rsid w:val="00841678"/>
    <w:rsid w:val="00841C6D"/>
    <w:rsid w:val="00847773"/>
    <w:rsid w:val="008704BB"/>
    <w:rsid w:val="008731DF"/>
    <w:rsid w:val="008742D9"/>
    <w:rsid w:val="00880270"/>
    <w:rsid w:val="00884BA9"/>
    <w:rsid w:val="00885F30"/>
    <w:rsid w:val="00890C6F"/>
    <w:rsid w:val="00895053"/>
    <w:rsid w:val="00896DBD"/>
    <w:rsid w:val="008974BF"/>
    <w:rsid w:val="008A17A9"/>
    <w:rsid w:val="008A3107"/>
    <w:rsid w:val="008B0FDB"/>
    <w:rsid w:val="008B2ADA"/>
    <w:rsid w:val="008B4FB5"/>
    <w:rsid w:val="008B6904"/>
    <w:rsid w:val="008C043F"/>
    <w:rsid w:val="008C09EA"/>
    <w:rsid w:val="008C44F9"/>
    <w:rsid w:val="008C59AC"/>
    <w:rsid w:val="008D47BC"/>
    <w:rsid w:val="008D49D4"/>
    <w:rsid w:val="008E1F6E"/>
    <w:rsid w:val="008E4ED5"/>
    <w:rsid w:val="008E59DD"/>
    <w:rsid w:val="008E76B7"/>
    <w:rsid w:val="008F20EA"/>
    <w:rsid w:val="0090054E"/>
    <w:rsid w:val="00900A95"/>
    <w:rsid w:val="00901F3D"/>
    <w:rsid w:val="00902539"/>
    <w:rsid w:val="00903934"/>
    <w:rsid w:val="00911809"/>
    <w:rsid w:val="0091182F"/>
    <w:rsid w:val="009123A3"/>
    <w:rsid w:val="00914294"/>
    <w:rsid w:val="00915220"/>
    <w:rsid w:val="00915574"/>
    <w:rsid w:val="00920306"/>
    <w:rsid w:val="00923098"/>
    <w:rsid w:val="009328F0"/>
    <w:rsid w:val="009338F6"/>
    <w:rsid w:val="00934314"/>
    <w:rsid w:val="0093438B"/>
    <w:rsid w:val="00934C4F"/>
    <w:rsid w:val="00936D95"/>
    <w:rsid w:val="009372E4"/>
    <w:rsid w:val="00937CC4"/>
    <w:rsid w:val="00941898"/>
    <w:rsid w:val="009419C4"/>
    <w:rsid w:val="009442AA"/>
    <w:rsid w:val="009471DF"/>
    <w:rsid w:val="0095061A"/>
    <w:rsid w:val="0095066F"/>
    <w:rsid w:val="0095124E"/>
    <w:rsid w:val="00951BE6"/>
    <w:rsid w:val="00954CC9"/>
    <w:rsid w:val="009615AD"/>
    <w:rsid w:val="00961FE2"/>
    <w:rsid w:val="00964EF2"/>
    <w:rsid w:val="0096515F"/>
    <w:rsid w:val="00967396"/>
    <w:rsid w:val="009715E6"/>
    <w:rsid w:val="009720F5"/>
    <w:rsid w:val="009721E7"/>
    <w:rsid w:val="00972801"/>
    <w:rsid w:val="00976146"/>
    <w:rsid w:val="00980EE9"/>
    <w:rsid w:val="00982A8E"/>
    <w:rsid w:val="009850B8"/>
    <w:rsid w:val="00985960"/>
    <w:rsid w:val="009921C5"/>
    <w:rsid w:val="00997468"/>
    <w:rsid w:val="009A356A"/>
    <w:rsid w:val="009A615A"/>
    <w:rsid w:val="009A6BC9"/>
    <w:rsid w:val="009C0130"/>
    <w:rsid w:val="009C4FC3"/>
    <w:rsid w:val="009D080B"/>
    <w:rsid w:val="009D0D42"/>
    <w:rsid w:val="009D1710"/>
    <w:rsid w:val="009D23A2"/>
    <w:rsid w:val="009D2D8A"/>
    <w:rsid w:val="009D3166"/>
    <w:rsid w:val="009D42C6"/>
    <w:rsid w:val="009D4702"/>
    <w:rsid w:val="009D6C98"/>
    <w:rsid w:val="009E2733"/>
    <w:rsid w:val="009E5469"/>
    <w:rsid w:val="009F1EED"/>
    <w:rsid w:val="009F3E52"/>
    <w:rsid w:val="009F672E"/>
    <w:rsid w:val="009F7E13"/>
    <w:rsid w:val="00A05436"/>
    <w:rsid w:val="00A119B0"/>
    <w:rsid w:val="00A128AB"/>
    <w:rsid w:val="00A12C49"/>
    <w:rsid w:val="00A14CA5"/>
    <w:rsid w:val="00A16D94"/>
    <w:rsid w:val="00A275AA"/>
    <w:rsid w:val="00A3199D"/>
    <w:rsid w:val="00A33D37"/>
    <w:rsid w:val="00A37779"/>
    <w:rsid w:val="00A4002D"/>
    <w:rsid w:val="00A41955"/>
    <w:rsid w:val="00A42682"/>
    <w:rsid w:val="00A46106"/>
    <w:rsid w:val="00A506A7"/>
    <w:rsid w:val="00A5184F"/>
    <w:rsid w:val="00A51C22"/>
    <w:rsid w:val="00A51D60"/>
    <w:rsid w:val="00A5226A"/>
    <w:rsid w:val="00A535AA"/>
    <w:rsid w:val="00A56093"/>
    <w:rsid w:val="00A61142"/>
    <w:rsid w:val="00A62D01"/>
    <w:rsid w:val="00A6529C"/>
    <w:rsid w:val="00A66ACD"/>
    <w:rsid w:val="00A72186"/>
    <w:rsid w:val="00A747EC"/>
    <w:rsid w:val="00A82776"/>
    <w:rsid w:val="00A83FF2"/>
    <w:rsid w:val="00A8688C"/>
    <w:rsid w:val="00A872C2"/>
    <w:rsid w:val="00A90DC0"/>
    <w:rsid w:val="00A9573D"/>
    <w:rsid w:val="00AA459B"/>
    <w:rsid w:val="00AA7701"/>
    <w:rsid w:val="00AB5D3E"/>
    <w:rsid w:val="00AC3B8D"/>
    <w:rsid w:val="00AC661E"/>
    <w:rsid w:val="00AC74BD"/>
    <w:rsid w:val="00AD2029"/>
    <w:rsid w:val="00AD7497"/>
    <w:rsid w:val="00AE01E7"/>
    <w:rsid w:val="00AE4D6B"/>
    <w:rsid w:val="00AE706A"/>
    <w:rsid w:val="00AE734B"/>
    <w:rsid w:val="00AE799B"/>
    <w:rsid w:val="00AF3B62"/>
    <w:rsid w:val="00AF6649"/>
    <w:rsid w:val="00AF77A5"/>
    <w:rsid w:val="00B13112"/>
    <w:rsid w:val="00B13689"/>
    <w:rsid w:val="00B15E84"/>
    <w:rsid w:val="00B25B61"/>
    <w:rsid w:val="00B26C0C"/>
    <w:rsid w:val="00B3040B"/>
    <w:rsid w:val="00B31663"/>
    <w:rsid w:val="00B33479"/>
    <w:rsid w:val="00B3392D"/>
    <w:rsid w:val="00B348FD"/>
    <w:rsid w:val="00B40C55"/>
    <w:rsid w:val="00B42BF9"/>
    <w:rsid w:val="00B45A0C"/>
    <w:rsid w:val="00B55719"/>
    <w:rsid w:val="00B567F0"/>
    <w:rsid w:val="00B62915"/>
    <w:rsid w:val="00B64154"/>
    <w:rsid w:val="00B65521"/>
    <w:rsid w:val="00B73EC0"/>
    <w:rsid w:val="00B7675D"/>
    <w:rsid w:val="00B81409"/>
    <w:rsid w:val="00B85B43"/>
    <w:rsid w:val="00B90BC2"/>
    <w:rsid w:val="00B90D9E"/>
    <w:rsid w:val="00B927F0"/>
    <w:rsid w:val="00B9328F"/>
    <w:rsid w:val="00B96620"/>
    <w:rsid w:val="00BA1637"/>
    <w:rsid w:val="00BA6DDD"/>
    <w:rsid w:val="00BA712C"/>
    <w:rsid w:val="00BB0277"/>
    <w:rsid w:val="00BB1D88"/>
    <w:rsid w:val="00BB1FE2"/>
    <w:rsid w:val="00BB2D93"/>
    <w:rsid w:val="00BB2DC5"/>
    <w:rsid w:val="00BB3820"/>
    <w:rsid w:val="00BB52CF"/>
    <w:rsid w:val="00BB7BFE"/>
    <w:rsid w:val="00BC0378"/>
    <w:rsid w:val="00BC0B8E"/>
    <w:rsid w:val="00BC1083"/>
    <w:rsid w:val="00BC394D"/>
    <w:rsid w:val="00BD405B"/>
    <w:rsid w:val="00BD427B"/>
    <w:rsid w:val="00BD50C8"/>
    <w:rsid w:val="00BD5925"/>
    <w:rsid w:val="00BD5C7B"/>
    <w:rsid w:val="00BD6742"/>
    <w:rsid w:val="00BD6B48"/>
    <w:rsid w:val="00BE0CDD"/>
    <w:rsid w:val="00BE2541"/>
    <w:rsid w:val="00BE2AB8"/>
    <w:rsid w:val="00BE3950"/>
    <w:rsid w:val="00BE436D"/>
    <w:rsid w:val="00BE44F3"/>
    <w:rsid w:val="00BF16B6"/>
    <w:rsid w:val="00C01B24"/>
    <w:rsid w:val="00C0267F"/>
    <w:rsid w:val="00C03E99"/>
    <w:rsid w:val="00C06573"/>
    <w:rsid w:val="00C07558"/>
    <w:rsid w:val="00C13DC5"/>
    <w:rsid w:val="00C240A5"/>
    <w:rsid w:val="00C2618A"/>
    <w:rsid w:val="00C27492"/>
    <w:rsid w:val="00C35A1A"/>
    <w:rsid w:val="00C36419"/>
    <w:rsid w:val="00C406D3"/>
    <w:rsid w:val="00C40AEB"/>
    <w:rsid w:val="00C43902"/>
    <w:rsid w:val="00C4394C"/>
    <w:rsid w:val="00C443D5"/>
    <w:rsid w:val="00C5027C"/>
    <w:rsid w:val="00C510EF"/>
    <w:rsid w:val="00C52542"/>
    <w:rsid w:val="00C54621"/>
    <w:rsid w:val="00C54934"/>
    <w:rsid w:val="00C57006"/>
    <w:rsid w:val="00C61A51"/>
    <w:rsid w:val="00C62834"/>
    <w:rsid w:val="00C67245"/>
    <w:rsid w:val="00C679B2"/>
    <w:rsid w:val="00C67C54"/>
    <w:rsid w:val="00C70893"/>
    <w:rsid w:val="00C74382"/>
    <w:rsid w:val="00C75B51"/>
    <w:rsid w:val="00C765D6"/>
    <w:rsid w:val="00C838E8"/>
    <w:rsid w:val="00C91D65"/>
    <w:rsid w:val="00C923AF"/>
    <w:rsid w:val="00CA4D18"/>
    <w:rsid w:val="00CA7B53"/>
    <w:rsid w:val="00CA7F7A"/>
    <w:rsid w:val="00CB0C91"/>
    <w:rsid w:val="00CB253F"/>
    <w:rsid w:val="00CB25AC"/>
    <w:rsid w:val="00CB2B2F"/>
    <w:rsid w:val="00CB44B9"/>
    <w:rsid w:val="00CB4F49"/>
    <w:rsid w:val="00CB78AE"/>
    <w:rsid w:val="00CC142E"/>
    <w:rsid w:val="00CC469E"/>
    <w:rsid w:val="00CC621D"/>
    <w:rsid w:val="00CC759C"/>
    <w:rsid w:val="00CD0346"/>
    <w:rsid w:val="00CD5AF8"/>
    <w:rsid w:val="00CD6702"/>
    <w:rsid w:val="00CE16A2"/>
    <w:rsid w:val="00CE74BF"/>
    <w:rsid w:val="00CF5422"/>
    <w:rsid w:val="00D130AD"/>
    <w:rsid w:val="00D14D75"/>
    <w:rsid w:val="00D14E63"/>
    <w:rsid w:val="00D15C04"/>
    <w:rsid w:val="00D219BC"/>
    <w:rsid w:val="00D32BB7"/>
    <w:rsid w:val="00D33037"/>
    <w:rsid w:val="00D33C13"/>
    <w:rsid w:val="00D35681"/>
    <w:rsid w:val="00D40553"/>
    <w:rsid w:val="00D43DA7"/>
    <w:rsid w:val="00D4509A"/>
    <w:rsid w:val="00D518D2"/>
    <w:rsid w:val="00D54A83"/>
    <w:rsid w:val="00D54DA8"/>
    <w:rsid w:val="00D550B7"/>
    <w:rsid w:val="00D619BD"/>
    <w:rsid w:val="00D62F1E"/>
    <w:rsid w:val="00D63F6C"/>
    <w:rsid w:val="00D7058D"/>
    <w:rsid w:val="00D7105B"/>
    <w:rsid w:val="00D73778"/>
    <w:rsid w:val="00D74246"/>
    <w:rsid w:val="00D766F8"/>
    <w:rsid w:val="00D76B51"/>
    <w:rsid w:val="00D82D95"/>
    <w:rsid w:val="00D851E9"/>
    <w:rsid w:val="00D85FEC"/>
    <w:rsid w:val="00D8680A"/>
    <w:rsid w:val="00D90803"/>
    <w:rsid w:val="00DA7720"/>
    <w:rsid w:val="00DB17CF"/>
    <w:rsid w:val="00DB20D3"/>
    <w:rsid w:val="00DC0B21"/>
    <w:rsid w:val="00DC1AEF"/>
    <w:rsid w:val="00DD75EC"/>
    <w:rsid w:val="00DD7F10"/>
    <w:rsid w:val="00DE1784"/>
    <w:rsid w:val="00DE19EC"/>
    <w:rsid w:val="00DE55DD"/>
    <w:rsid w:val="00DE6FCB"/>
    <w:rsid w:val="00DF3805"/>
    <w:rsid w:val="00E026E4"/>
    <w:rsid w:val="00E038F2"/>
    <w:rsid w:val="00E046FD"/>
    <w:rsid w:val="00E0671F"/>
    <w:rsid w:val="00E13BAD"/>
    <w:rsid w:val="00E1459D"/>
    <w:rsid w:val="00E152D0"/>
    <w:rsid w:val="00E17AD4"/>
    <w:rsid w:val="00E21B59"/>
    <w:rsid w:val="00E21D21"/>
    <w:rsid w:val="00E2599C"/>
    <w:rsid w:val="00E32560"/>
    <w:rsid w:val="00E3293B"/>
    <w:rsid w:val="00E337A1"/>
    <w:rsid w:val="00E43319"/>
    <w:rsid w:val="00E44C4A"/>
    <w:rsid w:val="00E450D6"/>
    <w:rsid w:val="00E547D1"/>
    <w:rsid w:val="00E5716C"/>
    <w:rsid w:val="00E61251"/>
    <w:rsid w:val="00E6351A"/>
    <w:rsid w:val="00E74626"/>
    <w:rsid w:val="00E7503B"/>
    <w:rsid w:val="00E779C9"/>
    <w:rsid w:val="00E81E57"/>
    <w:rsid w:val="00E82ECA"/>
    <w:rsid w:val="00E8571B"/>
    <w:rsid w:val="00E86303"/>
    <w:rsid w:val="00E94181"/>
    <w:rsid w:val="00E959B3"/>
    <w:rsid w:val="00EA22D1"/>
    <w:rsid w:val="00EA2553"/>
    <w:rsid w:val="00EA3F34"/>
    <w:rsid w:val="00EA3F77"/>
    <w:rsid w:val="00EA4D71"/>
    <w:rsid w:val="00EC3FD2"/>
    <w:rsid w:val="00ED30CA"/>
    <w:rsid w:val="00ED34E4"/>
    <w:rsid w:val="00ED3A94"/>
    <w:rsid w:val="00ED77D9"/>
    <w:rsid w:val="00ED7CE0"/>
    <w:rsid w:val="00EE0EB3"/>
    <w:rsid w:val="00EE3274"/>
    <w:rsid w:val="00EE6BCC"/>
    <w:rsid w:val="00EE7613"/>
    <w:rsid w:val="00EF042E"/>
    <w:rsid w:val="00EF0F15"/>
    <w:rsid w:val="00EF5155"/>
    <w:rsid w:val="00EF5BB2"/>
    <w:rsid w:val="00EF6E18"/>
    <w:rsid w:val="00F02458"/>
    <w:rsid w:val="00F0297B"/>
    <w:rsid w:val="00F040D5"/>
    <w:rsid w:val="00F07251"/>
    <w:rsid w:val="00F0796B"/>
    <w:rsid w:val="00F07ABD"/>
    <w:rsid w:val="00F118C7"/>
    <w:rsid w:val="00F126AF"/>
    <w:rsid w:val="00F15F61"/>
    <w:rsid w:val="00F17FF1"/>
    <w:rsid w:val="00F25FFF"/>
    <w:rsid w:val="00F2634E"/>
    <w:rsid w:val="00F26ACC"/>
    <w:rsid w:val="00F27AB5"/>
    <w:rsid w:val="00F3074B"/>
    <w:rsid w:val="00F31931"/>
    <w:rsid w:val="00F40C04"/>
    <w:rsid w:val="00F465FA"/>
    <w:rsid w:val="00F468F5"/>
    <w:rsid w:val="00F51F45"/>
    <w:rsid w:val="00F5556D"/>
    <w:rsid w:val="00F600AB"/>
    <w:rsid w:val="00F61C9B"/>
    <w:rsid w:val="00F6243C"/>
    <w:rsid w:val="00F65989"/>
    <w:rsid w:val="00F72644"/>
    <w:rsid w:val="00F72AA7"/>
    <w:rsid w:val="00F74227"/>
    <w:rsid w:val="00F76C5C"/>
    <w:rsid w:val="00F80504"/>
    <w:rsid w:val="00F81D3E"/>
    <w:rsid w:val="00F8373E"/>
    <w:rsid w:val="00F84519"/>
    <w:rsid w:val="00F84A6C"/>
    <w:rsid w:val="00F85C37"/>
    <w:rsid w:val="00F86EAD"/>
    <w:rsid w:val="00F900F7"/>
    <w:rsid w:val="00F92E4A"/>
    <w:rsid w:val="00FA07C7"/>
    <w:rsid w:val="00FA0CE0"/>
    <w:rsid w:val="00FA1B12"/>
    <w:rsid w:val="00FA3B0D"/>
    <w:rsid w:val="00FA7119"/>
    <w:rsid w:val="00FA785F"/>
    <w:rsid w:val="00FB1EFC"/>
    <w:rsid w:val="00FB274A"/>
    <w:rsid w:val="00FB2C50"/>
    <w:rsid w:val="00FB5137"/>
    <w:rsid w:val="00FC13CC"/>
    <w:rsid w:val="00FC2135"/>
    <w:rsid w:val="00FC37A4"/>
    <w:rsid w:val="00FC5E65"/>
    <w:rsid w:val="00FC70FA"/>
    <w:rsid w:val="00FD2F1F"/>
    <w:rsid w:val="00FF09DC"/>
    <w:rsid w:val="00FF0AC4"/>
    <w:rsid w:val="00FF3F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51ED85"/>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6D3"/>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406D3"/>
    <w:pPr>
      <w:spacing w:after="0" w:line="240" w:lineRule="auto"/>
    </w:pPr>
    <w:rPr>
      <w:sz w:val="28"/>
      <w:lang w:eastAsia="en-US"/>
    </w:rPr>
  </w:style>
  <w:style w:type="paragraph" w:styleId="HTML">
    <w:name w:val="HTML Preformatted"/>
    <w:basedOn w:val="a"/>
    <w:link w:val="HTML0"/>
    <w:uiPriority w:val="99"/>
    <w:rsid w:val="00835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ий HTML Знак"/>
    <w:basedOn w:val="a0"/>
    <w:link w:val="HTML"/>
    <w:uiPriority w:val="99"/>
    <w:locked/>
    <w:rsid w:val="00835B93"/>
    <w:rPr>
      <w:rFonts w:ascii="Courier New" w:hAnsi="Courier New" w:cs="Courier New"/>
      <w:color w:val="000000"/>
      <w:sz w:val="28"/>
      <w:szCs w:val="28"/>
      <w:lang w:val="ru-RU" w:eastAsia="ru-RU"/>
    </w:rPr>
  </w:style>
  <w:style w:type="paragraph" w:styleId="a4">
    <w:name w:val="header"/>
    <w:basedOn w:val="a"/>
    <w:link w:val="a5"/>
    <w:uiPriority w:val="99"/>
    <w:rsid w:val="00EA4D71"/>
    <w:pPr>
      <w:tabs>
        <w:tab w:val="center" w:pos="4677"/>
        <w:tab w:val="right" w:pos="9355"/>
      </w:tabs>
    </w:pPr>
  </w:style>
  <w:style w:type="character" w:customStyle="1" w:styleId="a5">
    <w:name w:val="Верхній колонтитул Знак"/>
    <w:basedOn w:val="a0"/>
    <w:link w:val="a4"/>
    <w:uiPriority w:val="99"/>
    <w:semiHidden/>
    <w:locked/>
    <w:rPr>
      <w:rFonts w:eastAsia="Times New Roman" w:cs="Times New Roman"/>
      <w:sz w:val="24"/>
      <w:szCs w:val="24"/>
    </w:rPr>
  </w:style>
  <w:style w:type="character" w:styleId="a6">
    <w:name w:val="page number"/>
    <w:basedOn w:val="a0"/>
    <w:uiPriority w:val="99"/>
    <w:rsid w:val="00EA4D71"/>
    <w:rPr>
      <w:rFonts w:cs="Times New Roman"/>
    </w:rPr>
  </w:style>
  <w:style w:type="paragraph" w:styleId="a7">
    <w:name w:val="footer"/>
    <w:basedOn w:val="a"/>
    <w:link w:val="a8"/>
    <w:uiPriority w:val="99"/>
    <w:rsid w:val="00EA4D71"/>
    <w:pPr>
      <w:tabs>
        <w:tab w:val="center" w:pos="4677"/>
        <w:tab w:val="right" w:pos="9355"/>
      </w:tabs>
    </w:pPr>
  </w:style>
  <w:style w:type="character" w:customStyle="1" w:styleId="a8">
    <w:name w:val="Нижній колонтитул Знак"/>
    <w:basedOn w:val="a0"/>
    <w:link w:val="a7"/>
    <w:uiPriority w:val="99"/>
    <w:locked/>
    <w:rPr>
      <w:rFonts w:eastAsia="Times New Roman" w:cs="Times New Roman"/>
      <w:sz w:val="24"/>
      <w:szCs w:val="24"/>
    </w:rPr>
  </w:style>
  <w:style w:type="paragraph" w:styleId="a9">
    <w:name w:val="Balloon Text"/>
    <w:basedOn w:val="a"/>
    <w:link w:val="aa"/>
    <w:uiPriority w:val="99"/>
    <w:semiHidden/>
    <w:rsid w:val="00D14D75"/>
    <w:rPr>
      <w:rFonts w:ascii="Tahoma" w:hAnsi="Tahoma" w:cs="Tahoma"/>
      <w:sz w:val="16"/>
      <w:szCs w:val="16"/>
    </w:rPr>
  </w:style>
  <w:style w:type="character" w:customStyle="1" w:styleId="aa">
    <w:name w:val="Текст у виносці Знак"/>
    <w:basedOn w:val="a0"/>
    <w:link w:val="a9"/>
    <w:uiPriority w:val="99"/>
    <w:semiHidden/>
    <w:locked/>
    <w:rPr>
      <w:rFonts w:eastAsia="Times New Roman" w:cs="Times New Roman"/>
      <w:sz w:val="2"/>
    </w:rPr>
  </w:style>
  <w:style w:type="paragraph" w:customStyle="1" w:styleId="rvps7">
    <w:name w:val="rvps7"/>
    <w:basedOn w:val="a"/>
    <w:rsid w:val="00F8373E"/>
    <w:pPr>
      <w:spacing w:before="100" w:beforeAutospacing="1" w:after="100" w:afterAutospacing="1"/>
    </w:pPr>
    <w:rPr>
      <w:lang w:val="uk-UA" w:eastAsia="uk-UA"/>
    </w:rPr>
  </w:style>
  <w:style w:type="character" w:customStyle="1" w:styleId="rvts15">
    <w:name w:val="rvts15"/>
    <w:rsid w:val="00F8373E"/>
  </w:style>
  <w:style w:type="character" w:customStyle="1" w:styleId="ab">
    <w:name w:val="Текст примітки Знак"/>
    <w:basedOn w:val="a0"/>
    <w:link w:val="ac"/>
    <w:uiPriority w:val="99"/>
    <w:locked/>
    <w:rsid w:val="000E4541"/>
    <w:rPr>
      <w:rFonts w:cs="Times New Roman"/>
      <w:sz w:val="20"/>
      <w:szCs w:val="20"/>
      <w:lang w:val="ru-RU" w:eastAsia="ru-RU"/>
    </w:rPr>
  </w:style>
  <w:style w:type="paragraph" w:styleId="ac">
    <w:name w:val="annotation text"/>
    <w:basedOn w:val="a"/>
    <w:link w:val="ab"/>
    <w:uiPriority w:val="99"/>
    <w:rsid w:val="000E4541"/>
    <w:rPr>
      <w:sz w:val="20"/>
      <w:szCs w:val="20"/>
    </w:rPr>
  </w:style>
  <w:style w:type="character" w:customStyle="1" w:styleId="1">
    <w:name w:val="Текст примітки Знак1"/>
    <w:basedOn w:val="a0"/>
    <w:uiPriority w:val="99"/>
    <w:semiHidden/>
    <w:rPr>
      <w:sz w:val="20"/>
      <w:szCs w:val="20"/>
      <w:lang w:val="ru-RU" w:eastAsia="ru-RU"/>
    </w:rPr>
  </w:style>
  <w:style w:type="character" w:customStyle="1" w:styleId="19">
    <w:name w:val="Текст примітки Знак19"/>
    <w:basedOn w:val="a0"/>
    <w:uiPriority w:val="99"/>
    <w:semiHidden/>
    <w:rPr>
      <w:rFonts w:cs="Times New Roman"/>
      <w:sz w:val="20"/>
      <w:szCs w:val="20"/>
      <w:lang w:val="ru-RU" w:eastAsia="ru-RU"/>
    </w:rPr>
  </w:style>
  <w:style w:type="character" w:customStyle="1" w:styleId="18">
    <w:name w:val="Текст примітки Знак18"/>
    <w:basedOn w:val="a0"/>
    <w:uiPriority w:val="99"/>
    <w:semiHidden/>
    <w:rPr>
      <w:rFonts w:cs="Times New Roman"/>
      <w:sz w:val="20"/>
      <w:szCs w:val="20"/>
      <w:lang w:val="ru-RU" w:eastAsia="ru-RU"/>
    </w:rPr>
  </w:style>
  <w:style w:type="character" w:customStyle="1" w:styleId="17">
    <w:name w:val="Текст примітки Знак17"/>
    <w:basedOn w:val="a0"/>
    <w:uiPriority w:val="99"/>
    <w:semiHidden/>
    <w:rPr>
      <w:rFonts w:cs="Times New Roman"/>
      <w:sz w:val="20"/>
      <w:szCs w:val="20"/>
      <w:lang w:val="ru-RU" w:eastAsia="ru-RU"/>
    </w:rPr>
  </w:style>
  <w:style w:type="character" w:customStyle="1" w:styleId="16">
    <w:name w:val="Текст примітки Знак16"/>
    <w:basedOn w:val="a0"/>
    <w:uiPriority w:val="99"/>
    <w:semiHidden/>
    <w:rPr>
      <w:rFonts w:cs="Times New Roman"/>
      <w:sz w:val="20"/>
      <w:szCs w:val="20"/>
      <w:lang w:val="ru-RU" w:eastAsia="ru-RU"/>
    </w:rPr>
  </w:style>
  <w:style w:type="character" w:customStyle="1" w:styleId="15">
    <w:name w:val="Текст примітки Знак15"/>
    <w:basedOn w:val="a0"/>
    <w:uiPriority w:val="99"/>
    <w:semiHidden/>
    <w:rPr>
      <w:rFonts w:cs="Times New Roman"/>
      <w:sz w:val="20"/>
      <w:szCs w:val="20"/>
      <w:lang w:val="ru-RU" w:eastAsia="ru-RU"/>
    </w:rPr>
  </w:style>
  <w:style w:type="character" w:customStyle="1" w:styleId="14">
    <w:name w:val="Текст примітки Знак14"/>
    <w:basedOn w:val="a0"/>
    <w:uiPriority w:val="99"/>
    <w:semiHidden/>
    <w:rPr>
      <w:rFonts w:cs="Times New Roman"/>
      <w:sz w:val="20"/>
      <w:szCs w:val="20"/>
      <w:lang w:val="ru-RU" w:eastAsia="ru-RU"/>
    </w:rPr>
  </w:style>
  <w:style w:type="character" w:customStyle="1" w:styleId="13">
    <w:name w:val="Текст примітки Знак13"/>
    <w:basedOn w:val="a0"/>
    <w:uiPriority w:val="99"/>
    <w:semiHidden/>
    <w:rPr>
      <w:rFonts w:cs="Times New Roman"/>
      <w:sz w:val="20"/>
      <w:szCs w:val="20"/>
      <w:lang w:val="ru-RU" w:eastAsia="ru-RU"/>
    </w:rPr>
  </w:style>
  <w:style w:type="character" w:customStyle="1" w:styleId="12">
    <w:name w:val="Текст примітки Знак12"/>
    <w:basedOn w:val="a0"/>
    <w:uiPriority w:val="99"/>
    <w:semiHidden/>
    <w:rPr>
      <w:rFonts w:cs="Times New Roman"/>
      <w:sz w:val="20"/>
      <w:szCs w:val="20"/>
      <w:lang w:val="ru-RU" w:eastAsia="ru-RU"/>
    </w:rPr>
  </w:style>
  <w:style w:type="character" w:customStyle="1" w:styleId="11">
    <w:name w:val="Текст примітки Знак11"/>
    <w:basedOn w:val="a0"/>
    <w:uiPriority w:val="99"/>
    <w:semiHidden/>
    <w:rPr>
      <w:rFonts w:cs="Times New Roman"/>
      <w:sz w:val="20"/>
      <w:szCs w:val="20"/>
      <w:lang w:val="ru-RU" w:eastAsia="ru-RU"/>
    </w:rPr>
  </w:style>
  <w:style w:type="character" w:customStyle="1" w:styleId="ad">
    <w:name w:val="Тема примітки Знак"/>
    <w:basedOn w:val="ab"/>
    <w:link w:val="ae"/>
    <w:uiPriority w:val="99"/>
    <w:locked/>
    <w:rsid w:val="000E4541"/>
    <w:rPr>
      <w:rFonts w:cs="Times New Roman"/>
      <w:b/>
      <w:bCs/>
      <w:sz w:val="20"/>
      <w:szCs w:val="20"/>
      <w:lang w:val="ru-RU" w:eastAsia="ru-RU"/>
    </w:rPr>
  </w:style>
  <w:style w:type="paragraph" w:styleId="ae">
    <w:name w:val="annotation subject"/>
    <w:basedOn w:val="ac"/>
    <w:next w:val="ac"/>
    <w:link w:val="ad"/>
    <w:uiPriority w:val="99"/>
    <w:rsid w:val="000E4541"/>
    <w:rPr>
      <w:b/>
      <w:bCs/>
    </w:rPr>
  </w:style>
  <w:style w:type="character" w:customStyle="1" w:styleId="10">
    <w:name w:val="Тема примітки Знак1"/>
    <w:basedOn w:val="ab"/>
    <w:uiPriority w:val="99"/>
    <w:semiHidden/>
    <w:rPr>
      <w:rFonts w:cs="Times New Roman"/>
      <w:b/>
      <w:bCs/>
      <w:sz w:val="20"/>
      <w:szCs w:val="20"/>
      <w:lang w:val="ru-RU" w:eastAsia="ru-RU"/>
    </w:rPr>
  </w:style>
  <w:style w:type="character" w:customStyle="1" w:styleId="190">
    <w:name w:val="Тема примітки Знак19"/>
    <w:basedOn w:val="ab"/>
    <w:uiPriority w:val="99"/>
    <w:semiHidden/>
    <w:rPr>
      <w:rFonts w:cs="Times New Roman"/>
      <w:b/>
      <w:bCs/>
      <w:sz w:val="20"/>
      <w:szCs w:val="20"/>
      <w:lang w:val="ru-RU" w:eastAsia="ru-RU"/>
    </w:rPr>
  </w:style>
  <w:style w:type="character" w:customStyle="1" w:styleId="180">
    <w:name w:val="Тема примітки Знак18"/>
    <w:basedOn w:val="ab"/>
    <w:uiPriority w:val="99"/>
    <w:semiHidden/>
    <w:rPr>
      <w:rFonts w:cs="Times New Roman"/>
      <w:b/>
      <w:bCs/>
      <w:sz w:val="20"/>
      <w:szCs w:val="20"/>
      <w:lang w:val="ru-RU" w:eastAsia="ru-RU"/>
    </w:rPr>
  </w:style>
  <w:style w:type="character" w:customStyle="1" w:styleId="170">
    <w:name w:val="Тема примітки Знак17"/>
    <w:basedOn w:val="ab"/>
    <w:uiPriority w:val="99"/>
    <w:semiHidden/>
    <w:rPr>
      <w:rFonts w:cs="Times New Roman"/>
      <w:b/>
      <w:bCs/>
      <w:sz w:val="20"/>
      <w:szCs w:val="20"/>
      <w:lang w:val="ru-RU" w:eastAsia="ru-RU"/>
    </w:rPr>
  </w:style>
  <w:style w:type="character" w:customStyle="1" w:styleId="160">
    <w:name w:val="Тема примітки Знак16"/>
    <w:basedOn w:val="ab"/>
    <w:uiPriority w:val="99"/>
    <w:semiHidden/>
    <w:rPr>
      <w:rFonts w:cs="Times New Roman"/>
      <w:b/>
      <w:bCs/>
      <w:sz w:val="20"/>
      <w:szCs w:val="20"/>
      <w:lang w:val="ru-RU" w:eastAsia="ru-RU"/>
    </w:rPr>
  </w:style>
  <w:style w:type="character" w:customStyle="1" w:styleId="150">
    <w:name w:val="Тема примітки Знак15"/>
    <w:basedOn w:val="ab"/>
    <w:uiPriority w:val="99"/>
    <w:semiHidden/>
    <w:rPr>
      <w:rFonts w:cs="Times New Roman"/>
      <w:b/>
      <w:bCs/>
      <w:sz w:val="20"/>
      <w:szCs w:val="20"/>
      <w:lang w:val="ru-RU" w:eastAsia="ru-RU"/>
    </w:rPr>
  </w:style>
  <w:style w:type="character" w:customStyle="1" w:styleId="140">
    <w:name w:val="Тема примітки Знак14"/>
    <w:basedOn w:val="ab"/>
    <w:uiPriority w:val="99"/>
    <w:semiHidden/>
    <w:rPr>
      <w:rFonts w:cs="Times New Roman"/>
      <w:b/>
      <w:bCs/>
      <w:sz w:val="20"/>
      <w:szCs w:val="20"/>
      <w:lang w:val="ru-RU" w:eastAsia="ru-RU"/>
    </w:rPr>
  </w:style>
  <w:style w:type="character" w:customStyle="1" w:styleId="130">
    <w:name w:val="Тема примітки Знак13"/>
    <w:basedOn w:val="ab"/>
    <w:uiPriority w:val="99"/>
    <w:semiHidden/>
    <w:rPr>
      <w:rFonts w:cs="Times New Roman"/>
      <w:b/>
      <w:bCs/>
      <w:sz w:val="20"/>
      <w:szCs w:val="20"/>
      <w:lang w:val="ru-RU" w:eastAsia="ru-RU"/>
    </w:rPr>
  </w:style>
  <w:style w:type="character" w:customStyle="1" w:styleId="120">
    <w:name w:val="Тема примітки Знак12"/>
    <w:basedOn w:val="ab"/>
    <w:uiPriority w:val="99"/>
    <w:semiHidden/>
    <w:rPr>
      <w:rFonts w:cs="Times New Roman"/>
      <w:b/>
      <w:bCs/>
      <w:sz w:val="20"/>
      <w:szCs w:val="20"/>
      <w:lang w:val="ru-RU" w:eastAsia="ru-RU"/>
    </w:rPr>
  </w:style>
  <w:style w:type="character" w:customStyle="1" w:styleId="110">
    <w:name w:val="Тема примітки Знак11"/>
    <w:basedOn w:val="ab"/>
    <w:uiPriority w:val="99"/>
    <w:semiHidden/>
    <w:rPr>
      <w:rFonts w:cs="Times New Roman"/>
      <w:b/>
      <w:bCs/>
      <w:sz w:val="20"/>
      <w:szCs w:val="20"/>
      <w:lang w:val="ru-RU" w:eastAsia="ru-RU"/>
    </w:rPr>
  </w:style>
  <w:style w:type="character" w:customStyle="1" w:styleId="rvts9">
    <w:name w:val="rvts9"/>
    <w:rsid w:val="000E4541"/>
  </w:style>
  <w:style w:type="paragraph" w:customStyle="1" w:styleId="rvps2">
    <w:name w:val="rvps2"/>
    <w:basedOn w:val="a"/>
    <w:rsid w:val="000E4541"/>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2823">
      <w:marLeft w:val="0"/>
      <w:marRight w:val="0"/>
      <w:marTop w:val="0"/>
      <w:marBottom w:val="0"/>
      <w:divBdr>
        <w:top w:val="none" w:sz="0" w:space="0" w:color="auto"/>
        <w:left w:val="none" w:sz="0" w:space="0" w:color="auto"/>
        <w:bottom w:val="none" w:sz="0" w:space="0" w:color="auto"/>
        <w:right w:val="none" w:sz="0" w:space="0" w:color="auto"/>
      </w:divBdr>
    </w:div>
    <w:div w:id="33772824">
      <w:marLeft w:val="0"/>
      <w:marRight w:val="0"/>
      <w:marTop w:val="0"/>
      <w:marBottom w:val="0"/>
      <w:divBdr>
        <w:top w:val="none" w:sz="0" w:space="0" w:color="auto"/>
        <w:left w:val="none" w:sz="0" w:space="0" w:color="auto"/>
        <w:bottom w:val="none" w:sz="0" w:space="0" w:color="auto"/>
        <w:right w:val="none" w:sz="0" w:space="0" w:color="auto"/>
      </w:divBdr>
    </w:div>
    <w:div w:id="33772825">
      <w:marLeft w:val="0"/>
      <w:marRight w:val="0"/>
      <w:marTop w:val="0"/>
      <w:marBottom w:val="0"/>
      <w:divBdr>
        <w:top w:val="none" w:sz="0" w:space="0" w:color="auto"/>
        <w:left w:val="none" w:sz="0" w:space="0" w:color="auto"/>
        <w:bottom w:val="none" w:sz="0" w:space="0" w:color="auto"/>
        <w:right w:val="none" w:sz="0" w:space="0" w:color="auto"/>
      </w:divBdr>
    </w:div>
    <w:div w:id="33772826">
      <w:marLeft w:val="0"/>
      <w:marRight w:val="0"/>
      <w:marTop w:val="0"/>
      <w:marBottom w:val="0"/>
      <w:divBdr>
        <w:top w:val="none" w:sz="0" w:space="0" w:color="auto"/>
        <w:left w:val="none" w:sz="0" w:space="0" w:color="auto"/>
        <w:bottom w:val="none" w:sz="0" w:space="0" w:color="auto"/>
        <w:right w:val="none" w:sz="0" w:space="0" w:color="auto"/>
      </w:divBdr>
    </w:div>
    <w:div w:id="337728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5B5B0-6C95-48D2-9AC1-4BE8F866F3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175880-43FF-434B-8258-DAFF55FECF78}">
  <ds:schemaRefs>
    <ds:schemaRef ds:uri="http://schemas.microsoft.com/sharepoint/v3/contenttype/forms"/>
  </ds:schemaRefs>
</ds:datastoreItem>
</file>

<file path=customXml/itemProps3.xml><?xml version="1.0" encoding="utf-8"?>
<ds:datastoreItem xmlns:ds="http://schemas.openxmlformats.org/officeDocument/2006/customXml" ds:itemID="{B016171E-8B99-44CC-9813-359DE30F5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DC1114-FA74-414A-910E-861E44D22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8357</Words>
  <Characters>4765</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2021-12-22T10:02:00Z</dcterms:created>
  <dcterms:modified xsi:type="dcterms:W3CDTF">2021-12-22T10:02:00Z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