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FCAD1" w14:textId="77777777" w:rsidR="00AA34F4" w:rsidRPr="004B6D80" w:rsidRDefault="00AA34F4" w:rsidP="004B6D80">
      <w:pPr>
        <w:tabs>
          <w:tab w:val="left" w:pos="708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4B6D8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7B946347" w14:textId="77777777" w:rsidR="00AA34F4" w:rsidRPr="004B6D80" w:rsidRDefault="00AA34F4" w:rsidP="004B6D80">
      <w:pPr>
        <w:tabs>
          <w:tab w:val="left" w:pos="708"/>
        </w:tabs>
        <w:spacing w:before="120"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4B6D8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Pr="004B6D8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uk-UA"/>
        </w:rPr>
        <w:t>"Про економічний паспорт"</w:t>
      </w:r>
    </w:p>
    <w:p w14:paraId="06B19335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14:paraId="65691EC2" w14:textId="77777777" w:rsidR="00AA34F4" w:rsidRPr="004B6D80" w:rsidRDefault="00D01BD0" w:rsidP="004B6D80">
      <w:pPr>
        <w:tabs>
          <w:tab w:val="left" w:pos="708"/>
        </w:tabs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hyperlink r:id="rId9" w:tgtFrame="_blank" w:history="1">
        <w:r w:rsidR="00AA34F4" w:rsidRPr="004B6D80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uk-UA"/>
          </w:rPr>
          <w:t>1. Обґрунтування необхідності прийняття законопроекту</w:t>
        </w:r>
      </w:hyperlink>
      <w:r w:rsidR="00AA34F4" w:rsidRPr="004B6D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</w:p>
    <w:p w14:paraId="0CCDF5C3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Проект Закону України "Про економічний паспорт</w:t>
      </w:r>
      <w:r w:rsidRPr="004B6D8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/>
        </w:rPr>
        <w:t>"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(далі – проект Закону) є альтернативним до однойменного законопроекту № 6394 від 06.12.2021 р., ініційованого Президентом України. Цілком погоджуючись і розділяючи ідею необхідності врегулювання на законодавчому рівні питання підвищення економічного рівня життя громадян України шляхом створення Фонду майбутніх поколінь (далі – Фонд), альтернативний законопроект вносить ряд уточнень, що полягають у наступному.</w:t>
      </w:r>
    </w:p>
    <w:p w14:paraId="5459E1ED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По-перше, низку питань викликає визначене в законопроекті № 6394 джерело надходжень коштів у Фонд, а саме внесків, що надійдуть від сплати рентних платежів за користування надрами для видобування корисних копалин загальнодержавного значення. При цьому, зазначеним законопроектом </w:t>
      </w:r>
      <w:r w:rsidR="00ED7982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передбачається виплата 18-річним українцям суми у розмірі 630 тис. грн., що на даний момент еквівалента сумі на рівні 10 тисяч доларів США. </w:t>
      </w:r>
    </w:p>
    <w:p w14:paraId="173D21C2" w14:textId="77777777" w:rsidR="00AA34F4" w:rsidRPr="004B6D80" w:rsidRDefault="00ED7982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Виходячи із положень, передбачених статтею 7 Бюджетного кодексу України бюджет на система України ґрунтується, зокрема, на принципі збалансованості, що полягає у тому, що повноваження на здійснення витрат бюджету мають відповідати обсягу надходжень бюджету на відповідний бюджетний період</w:t>
      </w:r>
      <w:r w:rsidR="00DC4831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</w:p>
    <w:p w14:paraId="1F44CF18" w14:textId="77777777" w:rsidR="00E40097" w:rsidRPr="004B6D80" w:rsidRDefault="00DC4831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Однак треба взяти до уваги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, що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надходження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від ренти 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залежать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від 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того, якими є світові ціни на газ, нафту, руду.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За останні роки показники цін на зазначені корисні копалини не є стабільними: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цього року ці </w:t>
      </w:r>
      <w:r w:rsidR="00E40097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можуть доходи перевищувати заплановані надходження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через високі ціни на сировину, то у наступні роки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вони можуть різко скоротитися 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через падіння цін.</w:t>
      </w:r>
      <w:r w:rsidR="00E40097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Так, дійсно, в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деяких країнах </w:t>
      </w:r>
      <w:r w:rsidR="00E40097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(Норвегія, ОАЕ, Саудівська Аравія та </w:t>
      </w:r>
      <w:r w:rsidR="00E40097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 xml:space="preserve">Кувейт) 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існують програми, за якими держава виплачує кошти дітям та молоді за рахунок доходів від експорту нафти</w:t>
      </w:r>
      <w:r w:rsidR="00E40097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та інших корисних копалин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. Проте ці держави мають значні доходи від корисних копалин, профіцитні бюджети та стабільну національну валюту. На відміну від них, Україна не має таких значних доходів від видобутку корисних копалин. </w:t>
      </w:r>
      <w:r w:rsidR="00E40097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 нашій державі</w:t>
      </w:r>
      <w:r w:rsidR="00AA34F4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видобутком та продажем корисних копалин займаються в основному приватні компанії, які перераховують державі лише ренту. Від ренти щороку Україна отримує приблизно 40-45 млрд грн, що недостатньо для виплат </w:t>
      </w:r>
      <w:r w:rsidR="00E40097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сум, передбачених законопроектом 6394. Саме з цих причин альтернативний законопроект пропонує започаткувати бюджетний механізм, який по суті гарантуватиме безперебійне надходження на рахунки Фонду виплат незалежно від кон’юнктури ринку корисних копалин.</w:t>
      </w:r>
    </w:p>
    <w:p w14:paraId="2DC9875D" w14:textId="77777777" w:rsidR="00022D1B" w:rsidRPr="004B6D80" w:rsidRDefault="00E40097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Окрім того, альтернативним законопроектом розширюється спектр можливого використання українцями належних їх коштів: отримані від Фонду кошти мож</w:t>
      </w:r>
      <w:r w:rsidR="00022D1B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уть бути інвестовані у започаткування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молодим поколінням власного бізнесу</w:t>
      </w:r>
      <w:r w:rsidR="00022D1B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або ж використане як джерело інвестицій у житловий фонд, оскільки молоде покоління з об’єктивних причин не завжди має достатньо коштів для придбання житла на підставі договору купівлі-продажу.</w:t>
      </w:r>
    </w:p>
    <w:p w14:paraId="275AC4BE" w14:textId="77777777" w:rsidR="00022D1B" w:rsidRPr="004B6D80" w:rsidRDefault="00022D1B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 метою забезпечення об’єктивності відбору для обрання членів Ради Фонду розширено склад конкурсної комісії до </w:t>
      </w:r>
      <w:r w:rsidR="008A769D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9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членів із залученням представників міжнародних та всеукраїнських молодіжних громадських організацій</w:t>
      </w:r>
      <w:r w:rsidR="0094360F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,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а </w:t>
      </w:r>
      <w:r w:rsidR="008A769D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також уповноваженого Верховної Ради України з прав людини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</w:p>
    <w:p w14:paraId="603A6B36" w14:textId="77777777" w:rsidR="00022D1B" w:rsidRPr="004B6D80" w:rsidRDefault="00022D1B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Окрім того, альтернативний законопроект передбачає більш жорсткі вимоги до публічності діяльності Фонду </w:t>
      </w:r>
      <w:r w:rsidR="00291C21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та проведення аудиту.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</w:p>
    <w:p w14:paraId="3C2FEDAE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15BDF7BE" w14:textId="77777777" w:rsidR="00AA34F4" w:rsidRPr="004B6D80" w:rsidRDefault="00D01BD0" w:rsidP="004B6D80">
      <w:pPr>
        <w:shd w:val="clear" w:color="auto" w:fill="FFFFFF"/>
        <w:tabs>
          <w:tab w:val="left" w:pos="708"/>
        </w:tabs>
        <w:spacing w:after="120" w:line="360" w:lineRule="auto"/>
        <w:ind w:firstLine="72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hyperlink r:id="rId10" w:tgtFrame="_blank" w:history="1">
        <w:r w:rsidR="00AA34F4" w:rsidRPr="004B6D80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uk-UA"/>
          </w:rPr>
          <w:t>2. Мета</w:t>
        </w:r>
      </w:hyperlink>
      <w:r w:rsidR="00AA34F4" w:rsidRPr="004B6D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законопроекту</w:t>
      </w:r>
    </w:p>
    <w:p w14:paraId="33D5EB19" w14:textId="77777777" w:rsidR="00AA34F4" w:rsidRPr="004B6D80" w:rsidRDefault="00AA34F4" w:rsidP="004B6D80">
      <w:pPr>
        <w:widowControl w:val="0"/>
        <w:tabs>
          <w:tab w:val="left" w:pos="993"/>
        </w:tabs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Метою проекту Закону є підвищення економічного рівня життя громадян України, припинення відтоку українців за кордон, формування ефективної системи соціального захисту населення шляхом створення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Фонду, який буде здійснювати накопичення державних внесків на користь учасників Фонду з подальшим інвестуванням активів.</w:t>
      </w:r>
    </w:p>
    <w:p w14:paraId="30A8E4F7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5A64AB20" w14:textId="77777777" w:rsidR="00AA34F4" w:rsidRPr="004B6D80" w:rsidRDefault="00D01BD0" w:rsidP="004B6D80">
      <w:pPr>
        <w:shd w:val="clear" w:color="auto" w:fill="FFFFFF"/>
        <w:tabs>
          <w:tab w:val="left" w:pos="708"/>
        </w:tabs>
        <w:spacing w:after="120" w:line="360" w:lineRule="auto"/>
        <w:ind w:firstLine="72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hyperlink r:id="rId11" w:tgtFrame="_blank" w:history="1">
        <w:r w:rsidR="00AA34F4" w:rsidRPr="004B6D80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uk-UA"/>
          </w:rPr>
          <w:t xml:space="preserve">3. Загальна характеристика та основні положення законопроекту </w:t>
        </w:r>
      </w:hyperlink>
    </w:p>
    <w:p w14:paraId="6305CAD5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Проектом Закону визначаються особливості функціонування системи економічного паспорта, яка базується на засадах накопичення державних внесків на індивідуальних рахунках учасників Фонду та забезпечує здійснення виплат таким учасникам.</w:t>
      </w:r>
    </w:p>
    <w:p w14:paraId="70432FE8" w14:textId="77777777" w:rsidR="00AA34F4" w:rsidRPr="004B6D80" w:rsidRDefault="00291C21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Джерелом формування Фонду майбутніх поколінь є </w:t>
      </w:r>
      <w:r w:rsidR="0094360F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кошти Державного фонду майбутніх поколінь. Джерелом формування безпосередньо Державного фонду майбутніх поколінь є не менще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5 відсотків доходів загального фонду Державного бюджету України.</w:t>
      </w:r>
    </w:p>
    <w:p w14:paraId="5C91D203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Активи Фонду зберігаються в державному банку, який має ліцензію на провадження діяльності із зберігання активів пенсійних фондів (далі – зберігач Фонду).</w:t>
      </w:r>
    </w:p>
    <w:p w14:paraId="6132AB4F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Щорічний державний внесок на одного учасника Фонду визначається у розмірі двох мінімальних заробітних плат, встановленому законом на 1 січня календарного року, у якому здійснюється відповідний державний внесок.</w:t>
      </w:r>
    </w:p>
    <w:p w14:paraId="6FE2D6F4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Державні внески здійснюються шляхом зарахування відповідних грошових сум на поточний рахунок Фонду у зберігача Фонду щороку на кожного учасника Фонду до досягнення ним 18 років.</w:t>
      </w:r>
    </w:p>
    <w:p w14:paraId="6C5D4600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Управління Фондом та контроль за його діяльністю здійснює Рада Фон</w:t>
      </w:r>
      <w:r w:rsidR="00291C21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ду, до складу якої входять одинадцять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осіб, які обираються за результатами конкурсу.</w:t>
      </w:r>
    </w:p>
    <w:p w14:paraId="5153557A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Для проведення конкурсного відбору Кабінет Міністрів України утворює комісію з конкурсного відбору, яка є постійно діючим органом, затверджує її склад, призначає голову та секретаря комісії з конкурсного відбору.</w:t>
      </w:r>
    </w:p>
    <w:p w14:paraId="0502FD52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Учасником Фонду є громадянин України, народжений з 01 січня 2019 року, який має право на отримання виплати.</w:t>
      </w:r>
    </w:p>
    <w:p w14:paraId="5EBCD7A7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Для отримання виплати із системи економічного паспорта після досягнення учасником Фонду 18 років учасник повинен бути громадянином України та постійно проживати на території України протягом останніх п’яти років.</w:t>
      </w:r>
    </w:p>
    <w:p w14:paraId="0DAA0999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Виплати із системи економічного паспорта можуть здійснюватися на навчання, </w:t>
      </w:r>
      <w:r w:rsidR="00291C21"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купівлю власного житла на території України або використання виплат на фінансування будівництва житлових об’єктів згідно із Законом України «Про інвестиційну діяльність», створення на території України суб’єктів підприємництва,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лікування тяжких захворювань або за наявності критичних станів здоров’я, які підтверджені в установленому порядку, у будь-який час до досягнення 18 років.</w:t>
      </w:r>
    </w:p>
    <w:p w14:paraId="4F3EE396" w14:textId="77777777" w:rsidR="00AA34F4" w:rsidRPr="004B6D80" w:rsidRDefault="00AA34F4" w:rsidP="004B6D80">
      <w:pPr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3AADC364" w14:textId="77777777" w:rsidR="00AA34F4" w:rsidRPr="004B6D80" w:rsidRDefault="00D01BD0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hyperlink r:id="rId12" w:tgtFrame="_blank" w:history="1">
        <w:r w:rsidR="00AA34F4" w:rsidRPr="004B6D80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uk-UA"/>
          </w:rPr>
          <w:t xml:space="preserve">4. Стан нормативно-правової бази у зазначеній сфері правового регулювання </w:t>
        </w:r>
      </w:hyperlink>
    </w:p>
    <w:p w14:paraId="372D9B43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Регулювання правовідносин у зазначеній сфері здійснюється Конституцією України, законами України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державне регулювання ринків капіталу та організованих товарних ринків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фінансові послуги та державне регулювання ринків фінансових послуг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аудит фінансової звітності та аудиторську діяльність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банки і банківську діяльність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тощо.</w:t>
      </w:r>
    </w:p>
    <w:p w14:paraId="6BAA1B33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77E266C4" w14:textId="77777777" w:rsidR="00AA34F4" w:rsidRPr="004B6D80" w:rsidRDefault="00D01BD0" w:rsidP="004B6D80">
      <w:pPr>
        <w:shd w:val="clear" w:color="auto" w:fill="FFFFFF"/>
        <w:tabs>
          <w:tab w:val="left" w:pos="708"/>
        </w:tabs>
        <w:spacing w:after="120" w:line="360" w:lineRule="auto"/>
        <w:ind w:firstLine="72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hyperlink r:id="rId13" w:tgtFrame="_blank" w:history="1">
        <w:r w:rsidR="00AA34F4" w:rsidRPr="004B6D80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uk-UA" w:eastAsia="uk-UA"/>
          </w:rPr>
          <w:t>5. Фінансово-економічне обґрунтування</w:t>
        </w:r>
      </w:hyperlink>
    </w:p>
    <w:p w14:paraId="438D5521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Сплата державних внесків системи економічного паспорта здійснюватиметься за рахунок </w:t>
      </w:r>
      <w:r w:rsidR="00291C21"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відрахування 5% 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коштів </w:t>
      </w:r>
      <w:r w:rsidR="00291C21"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загальног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 фонду державного</w:t>
      </w:r>
      <w:r w:rsidR="00291C21"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бюджету.</w:t>
      </w:r>
    </w:p>
    <w:p w14:paraId="2007AA6F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612216D3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120" w:line="360" w:lineRule="auto"/>
        <w:ind w:firstLine="720"/>
        <w:jc w:val="both"/>
        <w:outlineLvl w:val="2"/>
        <w:rPr>
          <w:rFonts w:ascii="Calibri" w:eastAsia="Calibri" w:hAnsi="Calibri" w:cs="Times New Roman"/>
          <w:b/>
          <w:bCs/>
          <w:sz w:val="28"/>
          <w:szCs w:val="28"/>
          <w:lang w:val="uk-UA"/>
        </w:rPr>
      </w:pPr>
      <w:r w:rsidRPr="004B6D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 xml:space="preserve">6. Прогноз впливу соціально-економічних, правових та інших наслідків прийняття відповідного Закону України </w:t>
      </w:r>
    </w:p>
    <w:p w14:paraId="73D286D3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Реалізація положень Закону України 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економічний паспорт</w:t>
      </w:r>
      <w:r w:rsidRPr="004B6D8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"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створить додаткові стимули для розвитку економіки, </w:t>
      </w:r>
      <w:r w:rsidR="00291C21"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розвитку бізнесу, </w:t>
      </w: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також сприятиме формуванню цілеспрямованої державної політики щодо підвищення життєвого рівня населення.</w:t>
      </w:r>
    </w:p>
    <w:p w14:paraId="6E8B3540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моменту, коли Фонд почне здійснювати перші виплати, збільшиться попит на ринку нерухомості, а також на інструменти інвестування у пенсійні фонди. Це буде потужним поштовхом для розвитку ринку нерухомості та накопичувальної пенсійної системи.</w:t>
      </w:r>
    </w:p>
    <w:p w14:paraId="6D86C7F7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Фонд стане інструментом для реалізації структурних реформ на ринку освіти. Ресурси, які зможуть отримати молоді люди для оплати свого навчання, дадуть їм більше гнучкості у виборі освітньої траєкторії. Освітні можливості та перспективи молодих людей на ринку праці менше залежатимуть від фінансового стану їхніх батьків.</w:t>
      </w:r>
    </w:p>
    <w:p w14:paraId="66B24856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Ринок освіти буде більш конкурентним та прогнозованим. Освітні установи зможуть будувати довгострокові стратегії для інвестування у розвиток освітніх продуктів та прогнозувати попит на свої послуги. </w:t>
      </w:r>
    </w:p>
    <w:p w14:paraId="608E03F3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Оскільки у молоді з’явиться можливість інвестувати у свою освіту самостійно, держава зможе скоротити видатки на фінансування вищої освіти з бюджету.</w:t>
      </w:r>
    </w:p>
    <w:p w14:paraId="433A7305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Можливість використовувати кошти на лікування допоможе дітям з тяжкими хворобами покрити (хоча б частково) необхідні витрати. При цьому батьки зможуть самостійно обрати заклад, де можна отримати таку допомогу. Це спрятиме розвитку відповідних медичних послуг та формуванню лікарнями довгострокових стратегій розвитку таких послуг.</w:t>
      </w:r>
    </w:p>
    <w:p w14:paraId="345B5651" w14:textId="77777777" w:rsidR="00AA34F4" w:rsidRPr="004B6D80" w:rsidRDefault="00AA34F4" w:rsidP="004B6D80">
      <w:pPr>
        <w:shd w:val="clear" w:color="auto" w:fill="FFFFFF"/>
        <w:tabs>
          <w:tab w:val="left" w:pos="7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B6D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Визначення цілей, на які молодь зможе використовувати кошти, дасть чіткі сигнали ринкам та інвесторам про пріоритети держави та конкретні інструменти їх реалізації.</w:t>
      </w:r>
    </w:p>
    <w:p w14:paraId="2F0B308D" w14:textId="47FD71A5" w:rsidR="002A66CD" w:rsidRPr="004B6D80" w:rsidRDefault="004B6D80" w:rsidP="004B6D8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6D80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="004C2B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="00783A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М.М. </w:t>
      </w:r>
      <w:r w:rsidR="004C2BB9">
        <w:rPr>
          <w:rFonts w:ascii="Times New Roman" w:hAnsi="Times New Roman" w:cs="Times New Roman"/>
          <w:b/>
          <w:sz w:val="28"/>
          <w:szCs w:val="28"/>
          <w:lang w:val="uk-UA"/>
        </w:rPr>
        <w:t>Цимбалюк</w:t>
      </w:r>
    </w:p>
    <w:sectPr w:rsidR="002A66CD" w:rsidRPr="004B6D80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47B78" w14:textId="77777777" w:rsidR="00D01BD0" w:rsidRDefault="00D01BD0" w:rsidP="004B6D80">
      <w:pPr>
        <w:spacing w:after="0" w:line="240" w:lineRule="auto"/>
      </w:pPr>
      <w:r>
        <w:separator/>
      </w:r>
    </w:p>
  </w:endnote>
  <w:endnote w:type="continuationSeparator" w:id="0">
    <w:p w14:paraId="152E63DC" w14:textId="77777777" w:rsidR="00D01BD0" w:rsidRDefault="00D01BD0" w:rsidP="004B6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9626525"/>
      <w:docPartObj>
        <w:docPartGallery w:val="Page Numbers (Bottom of Page)"/>
        <w:docPartUnique/>
      </w:docPartObj>
    </w:sdtPr>
    <w:sdtEndPr/>
    <w:sdtContent>
      <w:p w14:paraId="5FD1B32D" w14:textId="24D69F88" w:rsidR="004B6D80" w:rsidRDefault="004B6D8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066">
          <w:rPr>
            <w:noProof/>
          </w:rPr>
          <w:t>1</w:t>
        </w:r>
        <w:r>
          <w:fldChar w:fldCharType="end"/>
        </w:r>
      </w:p>
    </w:sdtContent>
  </w:sdt>
  <w:p w14:paraId="0AD3AA21" w14:textId="77777777" w:rsidR="004B6D80" w:rsidRDefault="004B6D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FCE9E" w14:textId="77777777" w:rsidR="00D01BD0" w:rsidRDefault="00D01BD0" w:rsidP="004B6D80">
      <w:pPr>
        <w:spacing w:after="0" w:line="240" w:lineRule="auto"/>
      </w:pPr>
      <w:r>
        <w:separator/>
      </w:r>
    </w:p>
  </w:footnote>
  <w:footnote w:type="continuationSeparator" w:id="0">
    <w:p w14:paraId="34543B36" w14:textId="77777777" w:rsidR="00D01BD0" w:rsidRDefault="00D01BD0" w:rsidP="004B6D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4F4"/>
    <w:rsid w:val="00022D1B"/>
    <w:rsid w:val="00291C21"/>
    <w:rsid w:val="002A66CD"/>
    <w:rsid w:val="002B732F"/>
    <w:rsid w:val="004B6D80"/>
    <w:rsid w:val="004C2BB9"/>
    <w:rsid w:val="004F3066"/>
    <w:rsid w:val="00685F1B"/>
    <w:rsid w:val="00783AED"/>
    <w:rsid w:val="008A769D"/>
    <w:rsid w:val="0094360F"/>
    <w:rsid w:val="009B44F2"/>
    <w:rsid w:val="00AA34F4"/>
    <w:rsid w:val="00D01BD0"/>
    <w:rsid w:val="00DC4831"/>
    <w:rsid w:val="00E40097"/>
    <w:rsid w:val="00ED7982"/>
    <w:rsid w:val="00F403FC"/>
    <w:rsid w:val="00FC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348A1"/>
  <w15:docId w15:val="{0CEC7BC0-6BE4-4FDE-93F5-6E4FD5F3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B6D80"/>
  </w:style>
  <w:style w:type="paragraph" w:styleId="a5">
    <w:name w:val="footer"/>
    <w:basedOn w:val="a"/>
    <w:link w:val="a6"/>
    <w:uiPriority w:val="99"/>
    <w:unhideWhenUsed/>
    <w:rsid w:val="004B6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B6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ps.ligazakon.net/document/view/kp201285?ed=2020_12_16&amp;an=235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ips.ligazakon.net/document/view/kp201285?ed=2020_12_16&amp;an=23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ps.ligazakon.net/document/view/kp201285?ed=2020_12_16&amp;an=23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ips.ligazakon.net/document/view/kp201285?ed=2020_12_16&amp;an=226" TargetMode="External"/><Relationship Id="rId4" Type="http://schemas.openxmlformats.org/officeDocument/2006/relationships/styles" Target="styles.xml"/><Relationship Id="rId9" Type="http://schemas.openxmlformats.org/officeDocument/2006/relationships/hyperlink" Target="https://ips.ligazakon.net/document/view/kp201285?ed=2020_12_16&amp;an=22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F4108E-9565-42CF-A709-3C7C0DA6BF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C3AF70-5490-4ED5-A67B-13E207334B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FDE9D-B2B6-46CB-A941-30B6E6248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5733</Words>
  <Characters>3268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2021-12-22T10:02:00Z</dcterms:created>
  <dcterms:modified xsi:type="dcterms:W3CDTF">2021-12-22T10:02:00Z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