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240FA0" w:rsidRDefault="00240FA0" w:rsidP="00240FA0">
      <w:pPr>
        <w:keepNext/>
        <w:keepLines/>
        <w:spacing w:before="240" w:after="240"/>
        <w:jc w:val="center"/>
        <w:rPr>
          <w:rFonts w:ascii="Times New Roman" w:hAnsi="Times New Roman"/>
          <w:color w:val="000000"/>
          <w:sz w:val="28"/>
          <w:szCs w:val="28"/>
        </w:rPr>
      </w:pPr>
      <w:r>
        <w:rPr>
          <w:rFonts w:ascii="Times New Roman" w:hAnsi="Times New Roman"/>
          <w:color w:val="000000"/>
          <w:sz w:val="28"/>
          <w:szCs w:val="28"/>
        </w:rPr>
        <w:t xml:space="preserve">Про здійснення комплексної реконструкції </w:t>
      </w:r>
      <w:r>
        <w:rPr>
          <w:rFonts w:ascii="Times New Roman" w:hAnsi="Times New Roman"/>
          <w:color w:val="000000"/>
          <w:sz w:val="28"/>
          <w:szCs w:val="28"/>
        </w:rPr>
        <w:br/>
        <w:t>кварталів (мікрорайонів) застарілого житлового фонду</w:t>
      </w:r>
      <w:r>
        <w:rPr>
          <w:rFonts w:ascii="Times New Roman" w:hAnsi="Times New Roman"/>
          <w:color w:val="000000"/>
          <w:sz w:val="28"/>
          <w:szCs w:val="28"/>
        </w:rPr>
        <w:br/>
        <w:t>__________________________________________________</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Цей Закон  визначає правові, економічні, соціальні та організаційні засади проведення комплексної реконструкції кварталів (мікрорайонів) застарілого житлового фонду.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Основною метою здійснення заходів із комплексної реконструкції кварталів (мікрорайонів) застарілого житлового фонду є покращення основних техніко-економічних показників багатоквартирних будинків, об’єктів інженерно-транспортної та соціальної інфраструктури шляхом їх реконструкції, нового будівництва, якщо це передбачено містобудівною документацією, створення безбар’єрного середовища для осіб з інвалідністю та маломобільних груп населення.</w:t>
      </w:r>
    </w:p>
    <w:p w:rsidR="00240FA0" w:rsidRDefault="00240FA0" w:rsidP="00240FA0">
      <w:pPr>
        <w:spacing w:before="240" w:after="120" w:line="228" w:lineRule="auto"/>
        <w:ind w:firstLine="567"/>
        <w:jc w:val="both"/>
        <w:rPr>
          <w:rFonts w:ascii="Times New Roman" w:hAnsi="Times New Roman"/>
          <w:color w:val="000000"/>
          <w:sz w:val="28"/>
          <w:szCs w:val="28"/>
        </w:rPr>
      </w:pPr>
      <w:r>
        <w:rPr>
          <w:rFonts w:ascii="Times New Roman" w:hAnsi="Times New Roman"/>
          <w:color w:val="000000"/>
          <w:sz w:val="28"/>
          <w:szCs w:val="28"/>
        </w:rPr>
        <w:t>Стаття 1. Сфера дії Закону</w:t>
      </w:r>
    </w:p>
    <w:p w:rsidR="00240FA0" w:rsidRDefault="00240FA0" w:rsidP="00240FA0">
      <w:pPr>
        <w:spacing w:before="120" w:line="228"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1. Цей Закон регулює відносини, пов’язані із здійсненням заходів із комплексної реконструкції кварталів (мікрорайонів) застарілого житлового фонду. </w:t>
      </w:r>
    </w:p>
    <w:p w:rsidR="00240FA0" w:rsidRDefault="00240FA0" w:rsidP="00240FA0">
      <w:pPr>
        <w:spacing w:before="120" w:line="228"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2. Дія цього Закону не поширюється на пам’ятки культурної спадщини, індивідуальні (садибні) житлові будинки, садові, дачні будинки, господарські (присадибні) будівлі та споруди, прибудови до них. </w:t>
      </w:r>
    </w:p>
    <w:p w:rsidR="00240FA0" w:rsidRDefault="00240FA0" w:rsidP="00240FA0">
      <w:pPr>
        <w:keepNext/>
        <w:keepLines/>
        <w:spacing w:before="240" w:after="240" w:line="228" w:lineRule="auto"/>
        <w:jc w:val="center"/>
        <w:rPr>
          <w:rFonts w:ascii="Times New Roman" w:hAnsi="Times New Roman"/>
          <w:color w:val="000000"/>
          <w:sz w:val="28"/>
          <w:szCs w:val="28"/>
        </w:rPr>
      </w:pPr>
      <w:r>
        <w:rPr>
          <w:rFonts w:ascii="Times New Roman" w:hAnsi="Times New Roman"/>
          <w:color w:val="000000"/>
          <w:sz w:val="28"/>
          <w:szCs w:val="28"/>
        </w:rPr>
        <w:t>Розділ І</w:t>
      </w:r>
      <w:r>
        <w:rPr>
          <w:rFonts w:ascii="Times New Roman" w:hAnsi="Times New Roman"/>
          <w:color w:val="000000"/>
          <w:sz w:val="28"/>
          <w:szCs w:val="28"/>
        </w:rPr>
        <w:br/>
        <w:t>ЗАГАЛЬНІ ПОЛОЖЕННЯ</w:t>
      </w:r>
    </w:p>
    <w:p w:rsidR="00240FA0" w:rsidRDefault="00240FA0" w:rsidP="00240FA0">
      <w:pPr>
        <w:spacing w:before="120" w:after="240" w:line="228" w:lineRule="auto"/>
        <w:ind w:firstLine="567"/>
        <w:jc w:val="both"/>
        <w:rPr>
          <w:rFonts w:ascii="Times New Roman" w:hAnsi="Times New Roman"/>
          <w:color w:val="000000"/>
          <w:sz w:val="28"/>
          <w:szCs w:val="28"/>
        </w:rPr>
      </w:pPr>
      <w:r>
        <w:rPr>
          <w:rFonts w:ascii="Times New Roman" w:hAnsi="Times New Roman"/>
          <w:color w:val="000000"/>
          <w:sz w:val="28"/>
          <w:szCs w:val="28"/>
        </w:rPr>
        <w:t>Стаття 2. Визначення термінів</w:t>
      </w:r>
    </w:p>
    <w:p w:rsidR="00240FA0" w:rsidRDefault="00240FA0" w:rsidP="00240FA0">
      <w:pPr>
        <w:spacing w:before="120" w:line="228" w:lineRule="auto"/>
        <w:ind w:firstLine="567"/>
        <w:jc w:val="both"/>
        <w:rPr>
          <w:rFonts w:ascii="Times New Roman" w:hAnsi="Times New Roman"/>
          <w:color w:val="000000"/>
          <w:sz w:val="28"/>
          <w:szCs w:val="28"/>
        </w:rPr>
      </w:pPr>
      <w:r>
        <w:rPr>
          <w:rFonts w:ascii="Times New Roman" w:hAnsi="Times New Roman"/>
          <w:color w:val="000000"/>
          <w:sz w:val="28"/>
          <w:szCs w:val="28"/>
        </w:rPr>
        <w:t>1. У цьому Законі терміни вживаються в такому значенні:</w:t>
      </w:r>
    </w:p>
    <w:p w:rsidR="00240FA0" w:rsidRDefault="00240FA0" w:rsidP="00240FA0">
      <w:pPr>
        <w:spacing w:before="120" w:line="228"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1) власник об’єкта нерухомого майна — фізична або юридична особа, якій належить право володіння, користування та розпоряджання житловим приміщенням та/або нежитловим приміщенням, розміщеним у </w:t>
      </w:r>
      <w:r>
        <w:rPr>
          <w:rFonts w:ascii="Times New Roman" w:hAnsi="Times New Roman"/>
          <w:color w:val="000000"/>
          <w:sz w:val="28"/>
          <w:szCs w:val="28"/>
        </w:rPr>
        <w:lastRenderedPageBreak/>
        <w:t>багатоквартирному будинку, зареєстроване в установленому законом порядку;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застарілий житловий фонд — сукупність багатоквартирних будинків усіх форм власності, що за своїм технічним станом не відповідають сучасним вимогам до будівель і споруд, визначеним нормативними документами та нормативно-правовими актами, і втрата якими первісних техніко-експлуатаційних показників (міцності, стійкості, надійності тощо) становить понад 60 відсотків;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3) проект комплексної реконструкції кварталів (мікрорайонів) — сукупність цілеспрямованих організаційно-правових, управлінських, аналітичних, фінансових та інженерно-технічних заходів, необхідних для організації та управління роботами з реалізації проекту комплексної реконструкції кварталів (мікрорайонів), які здійснюються за договором про реалізацію проекту комплексної реконструкції кварталів (мікрорайонів),  типова форма якого затверджується Кабінетом Міністрів України;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інвестор-забудовник — суб’єкт господарювання, який здійснює заходи із комплексної реконструкції кварталів (мікрорайонів)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5) інженерно-транспортна інфраструктура — комплекс інженерних, транспортних споруд і комунікацій;</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6) комплексна реконструкція кварталів (мікрорайонів) застарілого житлового фонду — реконструкція багатоквартирних будинків, об’єктів  інженерно-транспортної та соціальної інфраструктури, розташованих у межах кварталу (мікрорайону)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7) маневрений житловий фонд — житловий фонд, призначений для тимчасового проживання на час здійснення комплексної реконструкції кварталів (мікрорайонів), сформований відповідно до умов проекту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8) мікрорайон — елемент соціально-планувальної структури території населеного пункту, який містить житлову забудову, повний комплекс об’єктів повсякденного обслуговування, зелені насадження, об’єкти інженерно-транспортної інфраструктури;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9) модернізація багатоквартирних будинків кварталу (мікрорайону) застарілого житлового фонду — поетапна перебудова будинків без відселення та компенсації, спрямована на підвищення рівня комфорту і умов проживання, експлуатацію житлового фонду, яка проводиться без зміни зовнішніх геометричних розмірів їх фундаментів, з метою відновлення технічного стану будівлі, її окремих конструкційних елементів, продовження строку експлуатації багатоквартирного будинку;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10) модернізація типових будівель —  процес часткової чи повної заміни конструкційних елементів та інженерних комунікацій у </w:t>
      </w:r>
      <w:r>
        <w:rPr>
          <w:rFonts w:ascii="Times New Roman" w:hAnsi="Times New Roman"/>
          <w:color w:val="000000"/>
          <w:sz w:val="28"/>
          <w:szCs w:val="28"/>
        </w:rPr>
        <w:lastRenderedPageBreak/>
        <w:t>багатоквартирних будинках масових серій, спрямований на підвищення ефективності їх використання;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11) наймач об’єкта нерухомого майна — фізична та/або юридична особа, якій належить право користування об’єктом нерухомого майна за призначенням за договором найму (оренди);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12) непридатна для експлуатації будівля/споруда — будівля/споруда або аварійний багатоквартирний будинок, об’єкт інженерно-транспортної або соціальної інфраструктури, під час обстеження яких виявлено невідповідність основним вимогам до будівель і споруд, визначеним нормативними документами та нормативно-правовими актами, будівельні конструкції, інженерні мережі та системи якого мають дефекти та пошкодження, що можуть призвести до різкого зниження несучої здатності та/або руйнації окремих конструкцій, втрати стійкості об’єкта, невідповідності санітарно-гігієнічним вимогам, негативно вплинути на роботу устаткування, які відповідно до законодавства визнані аварійними або ветхими;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13) об’єкти інженерно-транспортної інфраструктури — комплекс інженерно-транспортних споруд і мереж (водопровідної, теплової, дощової (зливової) каналізацій, водовідведення), дренажі, водостоки, щогли і опори мережі зовнішнього освітлення, тротуари, мостові переходи, підземні тунелі тощо);</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14) об’єкт нерухомого майна — житлове/нежитлове приміщення, що розміщене в багатоквартирному будинку, розташованому в межах кварталу (мікрорайону)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15) об’єкти реконструкції кварталу (мікрорайону) застарілого житлового фонду — багатоквартирні будинки, об’єкти інженерно-транспортної та соціальної інфраструктури, розташовані в межах кварталу (мікрорайону)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16) об’єкти соціальної інфраструктури — заклади, установи та підприємства з обслуговування та надання послуг, які забезпечують потреби населення у сфері охорони здоров’я, соціального захисту, виховання та освіти, культури, фізичної культури та спорту, тимчасового проживання, торгівлі, побутового, житлово-комунального обслуговування;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17) програма комплексної реконструкції кварталів (мікрорайонів) — програма, спрямована на розв’язання проблем, пов’язаних із комплексною реконструкцією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18) реконструкція багатоквартирного будинку — перебудова багатоквартирного будинку з метою покращення умов проживання, експлуатації, зміни житлових приміщень, загальної та житлової площі тощо із зміною його геометричних розмірів, функціонального призначення, заміною окремих конструкцій, їх елементів, основних техніко-економічних показників;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lastRenderedPageBreak/>
        <w:t>19) рівноцінний об’єкт нерухомого майна — рівноцінне за площею та кількістю кімнат житлове/нежитлове приміщення, яке надається на заміну житлового/нежитлового приміщення, що розміщене в багатоквартирному будинку, розташованому в межах кварталу (мікрорайону)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20) соціальна інфраструктура — комплекс закладів, установ та підприємств з обслуговування, які забезпечують потреби населення у сфері охорони здоров’я, соціального захисту, виховання та освіти, культури, фізичної культури та спорту, торгівлі, тимчасового проживання, побутового, житлово-комунального обслуговування тощо;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21) стартові багатоквартирні будинки — багатоквартирні будинки, побудовані в першочерговому порядку під час здійснення заходів із комплексної реконструкції кварталів (мікрорайонів) застарілого житлового фонду для забезпечення рівноцінними об’єктами нерухомого майна власників об’єктів нерухомого майна, що розташовані в межах відповідного кварталу (мікрорайону);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22) суспільна потреба  — обумовлена інтересами територіальної громади потреба в забезпеченні громадян  житлом  та  об</w:t>
      </w:r>
      <w:r>
        <w:rPr>
          <w:rFonts w:ascii="Times New Roman" w:hAnsi="Times New Roman"/>
          <w:color w:val="000000"/>
          <w:sz w:val="28"/>
          <w:szCs w:val="28"/>
          <w:lang w:val="ru-RU"/>
        </w:rPr>
        <w:t>’</w:t>
      </w:r>
      <w:r>
        <w:rPr>
          <w:rFonts w:ascii="Times New Roman" w:hAnsi="Times New Roman"/>
          <w:color w:val="000000"/>
          <w:sz w:val="28"/>
          <w:szCs w:val="28"/>
        </w:rPr>
        <w:t>єктами  соціальної інфраструктури.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2. Інші терміни вживаються в значенні, наведеному в Господарському, Цивільному кодексах України, Законі України </w:t>
      </w:r>
      <w:r w:rsidR="008B1E56">
        <w:rPr>
          <w:rFonts w:ascii="Times New Roman" w:hAnsi="Times New Roman"/>
          <w:color w:val="000000"/>
          <w:sz w:val="28"/>
          <w:szCs w:val="28"/>
        </w:rPr>
        <w:t>“</w:t>
      </w:r>
      <w:r>
        <w:rPr>
          <w:rFonts w:ascii="Times New Roman" w:hAnsi="Times New Roman"/>
          <w:color w:val="000000"/>
          <w:sz w:val="28"/>
          <w:szCs w:val="28"/>
        </w:rPr>
        <w:t>Про оренду державного та комунального майна</w:t>
      </w:r>
      <w:r w:rsidR="008B1E56">
        <w:rPr>
          <w:rFonts w:ascii="Times New Roman" w:hAnsi="Times New Roman"/>
          <w:color w:val="000000"/>
          <w:sz w:val="28"/>
          <w:szCs w:val="28"/>
        </w:rPr>
        <w:t>”</w:t>
      </w:r>
      <w:r>
        <w:rPr>
          <w:rFonts w:ascii="Times New Roman" w:hAnsi="Times New Roman"/>
          <w:color w:val="000000"/>
          <w:sz w:val="28"/>
          <w:szCs w:val="28"/>
        </w:rPr>
        <w:t xml:space="preserve">  та інших нормативно-правових актах. </w:t>
      </w:r>
    </w:p>
    <w:p w:rsidR="00240FA0" w:rsidRDefault="00240FA0" w:rsidP="00240FA0">
      <w:pPr>
        <w:spacing w:before="240" w:after="120"/>
        <w:ind w:left="1707" w:hanging="1140"/>
        <w:rPr>
          <w:rFonts w:ascii="Times New Roman" w:hAnsi="Times New Roman"/>
          <w:color w:val="000000"/>
          <w:sz w:val="28"/>
          <w:szCs w:val="28"/>
        </w:rPr>
      </w:pPr>
      <w:r>
        <w:rPr>
          <w:rFonts w:ascii="Times New Roman" w:hAnsi="Times New Roman"/>
          <w:color w:val="000000"/>
          <w:sz w:val="28"/>
          <w:szCs w:val="28"/>
        </w:rPr>
        <w:t>Стаття 3. Законодавство у сфері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Відносини у сфері комплексної реконструкції кварталів (мікрорайонів) застарілого житлового фонду, об’єктів інженерно-транспортної та соціальної інфраструктури регулюються Конституцією України, Цивільним, Господарським, Земельним кодексами України, Житловим кодексом Української РСР, Законами України “Про основи містобудування”, “Про архітектурну діяльність”, “Про регулювання містобудівної діяльності”,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“Про оренду землі”, “Про інвестиційну діяльність”, “Про охорону культурної спадщини”, “Про місцеве самоврядування в Україні”, “Про особливості здійснення права власності у багатоквартирному будинку” та нормативно-правовими актами, прийнятими відповідно до цього Закону.</w:t>
      </w:r>
    </w:p>
    <w:p w:rsidR="00240FA0" w:rsidRDefault="00240FA0" w:rsidP="00240FA0">
      <w:pPr>
        <w:spacing w:before="120"/>
        <w:ind w:firstLine="567"/>
        <w:jc w:val="both"/>
        <w:rPr>
          <w:rFonts w:ascii="Times New Roman" w:hAnsi="Times New Roman"/>
          <w:color w:val="000000"/>
          <w:sz w:val="28"/>
          <w:szCs w:val="28"/>
        </w:rPr>
      </w:pPr>
    </w:p>
    <w:p w:rsidR="00240FA0" w:rsidRDefault="00240FA0" w:rsidP="00240FA0">
      <w:pPr>
        <w:spacing w:before="120"/>
        <w:ind w:firstLine="567"/>
        <w:jc w:val="both"/>
        <w:rPr>
          <w:rFonts w:ascii="Times New Roman" w:hAnsi="Times New Roman"/>
          <w:color w:val="000000"/>
          <w:sz w:val="28"/>
          <w:szCs w:val="28"/>
        </w:rPr>
      </w:pPr>
    </w:p>
    <w:p w:rsidR="00240FA0" w:rsidRDefault="00240FA0" w:rsidP="00240FA0">
      <w:pPr>
        <w:spacing w:before="240" w:after="120"/>
        <w:ind w:left="1707" w:hanging="1140"/>
        <w:rPr>
          <w:rFonts w:ascii="Times New Roman" w:hAnsi="Times New Roman"/>
          <w:color w:val="000000"/>
          <w:sz w:val="28"/>
          <w:szCs w:val="28"/>
        </w:rPr>
      </w:pPr>
      <w:r>
        <w:rPr>
          <w:rFonts w:ascii="Times New Roman" w:hAnsi="Times New Roman"/>
          <w:color w:val="000000"/>
          <w:sz w:val="28"/>
          <w:szCs w:val="28"/>
        </w:rPr>
        <w:lastRenderedPageBreak/>
        <w:t>Стаття 4. Державна політика у сфері комплексної реконструкції кварталів (мікрорайонів)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Державна політика у сфері комплексної реконструкції кварталів (мікрорайонів) застарілого житлового фонду полягає в забезпеченні реалізації державних, громадських і приватних інтересів і спрямована на покращення технічного стану та якості житлового фонду, створення необхідної кількості об’єктів інженерно-транспортної та соціальної інфраструктури, благоустрій та озеленення території, створення безбар’єрного середовища для осіб з інвалідністю та маломобільних груп населення.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Державна політика у сфері комплексної реконструкції кварталів (мікрорайонів) застарілого житлового фонду реалізується шляхом:</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планування комплексної реконструкції кварталів (мікрорайонів);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здійснення комплексної реконструкції кварталів (мікрорайонів) відповідно до генеральних планів та детальних планів території населених пунктів, комплексного плану просторового розвитку територій територіальної громади, проектів комплексної реконструкції кварталів (мікрорайонів), проектної документації на будівництво окремих об’єктів у таких кварталах (мікрорайонах);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інформування в режимі реального часу власників/наймачів об’єктів нерухомого майна про поточний стан комплексної реконструкції кварталів (мікрорайонів) протягом усього часу такої реконструкції: про прийняття органами місцевого самоврядування рішення про здійснення заходів із комплексної реконструкції кварталів (мікрорайонів); розроблення, затвердження містобудівної документації на місцевому рівні та проектної документації; про реконструкцію, модернізацію, знесення наявних об’єктів нерухомого майна; про оформлення речових прав на нові об’єкти нерухомого майна;</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узгодження державних, громадських і приватних інтересів під час планування та реалізації проектів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співфінансування заходів із комплексної реконструкції кварталів (мікрорайонів) за рахунок коштів місцевого, державного бюджетів, інвесторів-забудовників та інших коштів, не заборонених законодавством, для проведення інженерної підготовки, спорудження об’єктів соціальної, інженерно-транспортної інфраструктури, благоустрою та озеленення прилеглих прибудинкових територій, створення безбар’єрного середовища для осіб з інвалідністю </w:t>
      </w:r>
      <w:r w:rsidR="008B1E56">
        <w:rPr>
          <w:rFonts w:ascii="Times New Roman" w:hAnsi="Times New Roman"/>
          <w:color w:val="000000"/>
          <w:sz w:val="28"/>
          <w:szCs w:val="28"/>
        </w:rPr>
        <w:t>та маломобільних груп населення</w:t>
      </w:r>
      <w:r>
        <w:rPr>
          <w:rFonts w:ascii="Times New Roman" w:hAnsi="Times New Roman"/>
          <w:color w:val="000000"/>
          <w:sz w:val="28"/>
          <w:szCs w:val="28"/>
        </w:rPr>
        <w:t xml:space="preserve"> та кредитування за рахунок коштів державного бюджету суб’єктів господарювання для реалізації проектів комплексної реконструкції кварталів (мікрорайонів)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lastRenderedPageBreak/>
        <w:t>гарантування та захисту права власності та користування на об’єкти нерухомого майна, розташовані в межах кварталу (мікрорайону) застарілого житлового фонду, або гарантування компенсації власникам/наймачам об’єктів нерухомого майна, що розміщене в багатоквартирних будинках, а також у межах кварталу (мікрорайону)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раціонального використання території відповідно до встановлених норм, стандартів і правил;</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координації дій органів місцевого самоврядування з реалізації проектів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забезпечення контролю за дотриманням вимог щодо створення умов для безбар’єрного доступу для осіб з інвалідністю та інших маломобільних груп населення.</w:t>
      </w:r>
    </w:p>
    <w:p w:rsidR="00240FA0" w:rsidRDefault="00240FA0" w:rsidP="00240FA0">
      <w:pPr>
        <w:keepNext/>
        <w:keepLines/>
        <w:spacing w:before="360" w:after="360"/>
        <w:jc w:val="center"/>
        <w:rPr>
          <w:rFonts w:ascii="Times New Roman" w:hAnsi="Times New Roman"/>
          <w:color w:val="000000"/>
          <w:sz w:val="28"/>
          <w:szCs w:val="28"/>
        </w:rPr>
      </w:pPr>
      <w:r>
        <w:rPr>
          <w:rFonts w:ascii="Times New Roman" w:hAnsi="Times New Roman"/>
          <w:color w:val="000000"/>
          <w:sz w:val="28"/>
          <w:szCs w:val="28"/>
        </w:rPr>
        <w:t>Розділ II</w:t>
      </w:r>
      <w:r>
        <w:rPr>
          <w:rFonts w:ascii="Times New Roman" w:hAnsi="Times New Roman"/>
          <w:color w:val="000000"/>
          <w:sz w:val="28"/>
          <w:szCs w:val="28"/>
        </w:rPr>
        <w:br/>
        <w:t xml:space="preserve">ПОВНОВАЖЕННЯ ОРГАНІВ ВИКОНАВЧОЇ ВЛАДИ, </w:t>
      </w:r>
      <w:r>
        <w:rPr>
          <w:rFonts w:ascii="Times New Roman" w:hAnsi="Times New Roman"/>
          <w:color w:val="000000"/>
          <w:sz w:val="28"/>
          <w:szCs w:val="28"/>
        </w:rPr>
        <w:br/>
        <w:t xml:space="preserve">ОРГАНІВ МІСЦЕВОГО САМОВРЯДУВАННЯ, </w:t>
      </w:r>
      <w:r>
        <w:rPr>
          <w:rFonts w:ascii="Times New Roman" w:hAnsi="Times New Roman"/>
          <w:color w:val="000000"/>
          <w:sz w:val="28"/>
          <w:szCs w:val="28"/>
        </w:rPr>
        <w:br/>
        <w:t>ОБОВ’ЯЗКИ ІНВЕСТОРІВ-ЗАБУДОВНИКІВ</w:t>
      </w:r>
    </w:p>
    <w:p w:rsidR="00240FA0" w:rsidRDefault="00240FA0" w:rsidP="00240FA0">
      <w:pPr>
        <w:spacing w:before="120" w:after="240"/>
        <w:ind w:left="1707" w:hanging="1140"/>
        <w:rPr>
          <w:rFonts w:ascii="Times New Roman" w:hAnsi="Times New Roman"/>
          <w:color w:val="000000"/>
          <w:sz w:val="28"/>
          <w:szCs w:val="28"/>
        </w:rPr>
      </w:pPr>
      <w:r>
        <w:rPr>
          <w:rFonts w:ascii="Times New Roman" w:hAnsi="Times New Roman"/>
          <w:color w:val="000000"/>
          <w:sz w:val="28"/>
          <w:szCs w:val="28"/>
        </w:rPr>
        <w:t xml:space="preserve">Стаття 5. Повноваження центрального органу виконавчої влади, що забезпечує формування державної політики у сфері містобудування, будівництва та архітектури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Центральний орган виконавчої влади, що забезпечує формування державної політики у сфері містобудування, будівництва та архітектури: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забезпечує формування державної політики у сфері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здійснює методичне забезпечення діяльності у сфері комплексної реконструкції кварталів (мікрорайонів), зокрема шляхом розроблення методичних рекомендацій із проектування, техніко-економічної та соціальної оцінки ефективності, для різних способів виконання робіт із реконструкції та модернізації багатоквартирних будинків і сформованої з них забудови в різних умовах будівництва;</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розробляє та затверджує будівельні норми у сфері комплексної реконструкції кварталів (мікрорайонів);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затверджує типовий порядок віднесення багатоквартирних будинків до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виконує інші повноваження, передбачені законами України. </w:t>
      </w:r>
    </w:p>
    <w:p w:rsidR="00240FA0" w:rsidRDefault="00240FA0" w:rsidP="00240FA0">
      <w:pPr>
        <w:spacing w:before="240" w:after="120"/>
        <w:ind w:left="1724" w:hanging="1157"/>
        <w:rPr>
          <w:rFonts w:ascii="Times New Roman" w:hAnsi="Times New Roman"/>
          <w:color w:val="000000"/>
          <w:sz w:val="28"/>
          <w:szCs w:val="28"/>
        </w:rPr>
      </w:pPr>
      <w:r>
        <w:rPr>
          <w:rFonts w:ascii="Times New Roman" w:hAnsi="Times New Roman"/>
          <w:color w:val="000000"/>
          <w:sz w:val="28"/>
          <w:szCs w:val="28"/>
        </w:rPr>
        <w:lastRenderedPageBreak/>
        <w:t>Стаття 6. Повноваження Ради міністрів Автономної Республіки Крим, обласних, районних, Київської та Севастопольської міських державних адміністрацій</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Рада міністрів Автономної Республіки Крим, обласні, районні, Київська та Севастопольська міські державні адміністрації відповідно до компетенції:</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ініціюють розроблення державних цільових програм, проводять їх громадське обговорення, здійснюють загальне керівництво і контроль за розробленням державної цільової програми та здійснення її заходів і завдань;</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інформують населення про здійснення заходів із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здійснюють контроль за виконанням місцевих програм комплексної реконструкції кварталів (мікрорайонів), у тому числі за додержанням законодавства України під час проведення конкурсів із залучення інвесторів-забудовників для виконання зазначених програм.</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2. Рада міністрів Автономної Республіки Крим, обласні, районні, Київська та Севастопольська міські державні адміністрації в межах компетенції здійснюють повноваження, визначені законами України, та вирішують інші питання, пов’язані із комплексною реконструкцією кварталів (мікрорайонів), відповідно до законодавства. </w:t>
      </w:r>
    </w:p>
    <w:p w:rsidR="00240FA0" w:rsidRDefault="00240FA0" w:rsidP="00240FA0">
      <w:pPr>
        <w:spacing w:before="360" w:after="240"/>
        <w:ind w:left="1735" w:hanging="1168"/>
        <w:rPr>
          <w:rFonts w:ascii="Times New Roman" w:hAnsi="Times New Roman"/>
          <w:color w:val="000000"/>
          <w:sz w:val="28"/>
          <w:szCs w:val="28"/>
        </w:rPr>
      </w:pPr>
      <w:r>
        <w:rPr>
          <w:rFonts w:ascii="Times New Roman" w:hAnsi="Times New Roman"/>
          <w:color w:val="000000"/>
          <w:sz w:val="28"/>
          <w:szCs w:val="28"/>
        </w:rPr>
        <w:t>Стаття 7. Повноваження сільських, селищних, міських рад та їх виконавчих органів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Сільські, селищні, міські ради: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приймають рішення про:</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здійснення заходів із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віднесення об’єктів нерухомого майна до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надання в оренду земельної ділянки інвесторові-забудовникові на строк реалізації проектів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апробацію нових кредитно-фінансових механізмів для здійснення заходів із комплексної реконструкції кварталів (мікрорайонів), формування джерел фінансування;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фінансування проектів комплексної реконструкції кварталів (мікрорайонів) за рахунок відповідних місцевих бюджетів за пропозиціями їх виконавчих органів;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lastRenderedPageBreak/>
        <w:t>2) затверджують:</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місцеві програми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проекти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порядок і строки переселення мешканців у зв’язку із здійсненням  заходів із комплексної реконструкції кварталу (мікрорайону);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3) визначають порядок інвестування об’єктів у межах кварталів (мікрорайонів), в яких заплановано здійснення заходів із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інформують населення про передбачені містобудівною документацією на місцевому рівні перспективи щодо забудови та про виконання місцевих програм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5) визначають:</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критерії, яким має відповідати інвестор-забудовник;</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інвестора-забудовника на конкурсних засадах та укладають із ним договір про реалізацію проекту комплексної реконструкції кварталу (мікрорайону);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6) сприяють та беруть участь у виконанні програм комплексної реконструкції кварталів (мікрорайонів)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7) погоджують завдання на проектування комплексної реконструкції кварталу (мікрорайону), підготовлене інвесторами-забудовниками;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8) вирішують відповідно до законів України інші питання, пов’язані із комплексною реконструкцією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Виконавчі органи сільських, селищних, міських рад:</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розробляють та подають на затвердження відповідної сільської, селищної, міської ради: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місцеві програми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пропозиції до проектів відповідних місцевих бюджетів на наступний або поточний рік щодо фінансування заходів із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проекти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порядок віднесення багатоквартирних будинків до застарілого житлового фонду на підставі типового порядку;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2) виконують функції замовника комплексної реконструкції кварталів (мікрорайонів);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3) разом з інвестором-забудовником забезпечують проведення інженерних вишукувань на ділянці будівництва, які включають роботи з обстеження ділянки для будівництва стартового багатоквартирного </w:t>
      </w:r>
      <w:r>
        <w:rPr>
          <w:rFonts w:ascii="Times New Roman" w:hAnsi="Times New Roman"/>
          <w:color w:val="000000"/>
          <w:sz w:val="28"/>
          <w:szCs w:val="28"/>
        </w:rPr>
        <w:lastRenderedPageBreak/>
        <w:t>будинку чи іншої ділянки першої черги реконструкції території, ділянок і будівель, розташованих поруч із ділянкою будівництва, підземних і надземних комунікацій та споруд інженерного забезпечення наявних багатоквартирних будинків, топографо-геодезичне знімання, інженерно-геологічні вишукування;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4) разом з інвестором-забудовником погоджують граничні строки вирішення майнових питань, пов’язаних із реалізацією проекту комплексної реконструкції кварталу (мікрорайону), з власниками/наймачами об’єктів нерухомого майна, що розміщене в багатоквартирних будинках, і власниками земельних ділянок, розташованих у межах кварталу (мікрорайону) застарілого житлового фонду;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5) забезпечують реєстрацію обтяжень речових прав на об’єкти нерухомого майна, віднесеного до застарілого житлового фонду, у межах кварталу (мікрорайону), в якому заплановано здійснення заходів із  комплексної реконструкції кварталів (мікрорайонів), на підставі рішень органів місцевого самоврядування;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6) сприяють досудовому вирішенню спірних питань, пов’язаних із наданням власникам/наймачам об’єктів нерухомого майна рівноцінних об’єктів або грошової компенсації;</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7) готують рішення про передачу у власність або постійне користування співвласникам багатоквартирного будинку або об’єднанню співвласників багатоквартирного будинку земельної ділянки, на якій розташований багатоквартирний будинок, належних до нього будівель і споруд та прибудинкової території;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8) виступають позивачами в судових спорах, які стосуються обов’язкового вивільнення об’єктів нерухомого майна.  </w:t>
      </w:r>
    </w:p>
    <w:p w:rsidR="00240FA0" w:rsidRDefault="00240FA0" w:rsidP="00240FA0">
      <w:pPr>
        <w:spacing w:before="360" w:after="240"/>
        <w:ind w:firstLine="567"/>
        <w:jc w:val="both"/>
        <w:rPr>
          <w:rFonts w:ascii="Times New Roman" w:hAnsi="Times New Roman"/>
          <w:color w:val="000000"/>
          <w:sz w:val="28"/>
          <w:szCs w:val="28"/>
        </w:rPr>
      </w:pPr>
      <w:r>
        <w:rPr>
          <w:rFonts w:ascii="Times New Roman" w:hAnsi="Times New Roman"/>
          <w:color w:val="000000"/>
          <w:sz w:val="28"/>
          <w:szCs w:val="28"/>
        </w:rPr>
        <w:t xml:space="preserve">Стаття 8. Обов’язки інвестора-забудовника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Заходи із комплексної реконструкції кварталів (мікрорайонів) здійснюються одним та/або кількома інвесторами-забудовниками.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Інвестор-забудовник забезпечує:</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отримання вихідних даних;</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розроблення проекту комплексної реконструкції кварталів (мікрорайонів);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розроблення проектів окремих будівель і споруд, які відповідають будівельним нормам;</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проведення експертизи проектної документації на будівництво об’єктів реконструкції кварталу (мікрорайону)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отримання відповідно до вимог Закону України “Про регулювання містобудівної діяльності” дозволу на виконання будівельних робіт щодо об’єктів, які за класом наслідків (відповідальності) належать до об’єктів із середніми (СС2) та значними (СС3) наслідками або підлягають оцінці впливу на довкілля згідно із Законом України “Про оцінку впливу на довкілля”;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подання відповідно до вимог Закону України “Про регулювання містобудівної діяльності” повідомлення про початок виконання будівельних робіт щодо об’єктів будівництва, які за класом наслідків (відповідальності) належать до об’єктів з незначними наслідками (СС1), і щодо об’єктів, будівництво яких здійснюється на підставі будівельного паспорта та які не потребують отримання дозволу на виконання будівельних робіт згідно з переліком об’єктів будівництва, затвердженим Кабінетом Міністрів України;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прийняття відповідно до вимог Закону України “Про регулювання містобудівної діяльності” в експлуатацію закінчених будівництвом об’єктів;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виконання попередньо погоджених вимог та умов договору про реалізацію проекту комплексної реконструкції кварталу (мікрорайону), у тому числі умов та строків припинення  права власності на об’єкти нерухомого майна;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надання органу місцевого самоврядування у випадках та на умовах, визначених договором про реалізацію проекту із здійснення заходів комплексної реконструкції кварталу (мікрорайону), частини житлових приміщень, які призначені для переселення власників/наймачів житлових/нежитлових приміщень багатоквартирного будинку, який підлягає знесенню;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здійснення власними силами та за рахунок власних коштів заходів з утилізації відходів,  що утворюються  під  час  знесення багатоквартирних будинків, або сприяння вивезенню відходів, що утворюються  під  час  знесення багатоквартирних будинків, фізичними та/або юридичними особами, які набули право на провадження такого виду діяльності  в  установленому законом порядку, для повторного використання будівельних матеріалів і конструкцій із подальшим благоустроєм території;</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документальне підтвердження обсягів власних та/або залучених інвестицій відповідно  до  показників  вартості  одного   гектара   території забудови.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Інші обов’язки та права інвестора-забудовника визначаються договором про реалізацію проекту комплексної реконструкції кварталу (мікрорайону).</w:t>
      </w:r>
    </w:p>
    <w:p w:rsidR="00240FA0" w:rsidRDefault="00240FA0" w:rsidP="00240FA0">
      <w:pPr>
        <w:keepNext/>
        <w:keepLines/>
        <w:spacing w:before="360" w:after="360"/>
        <w:jc w:val="center"/>
        <w:rPr>
          <w:rFonts w:ascii="Times New Roman" w:hAnsi="Times New Roman"/>
          <w:color w:val="000000"/>
          <w:sz w:val="28"/>
          <w:szCs w:val="28"/>
        </w:rPr>
      </w:pPr>
      <w:r>
        <w:rPr>
          <w:rFonts w:ascii="Times New Roman" w:hAnsi="Times New Roman"/>
          <w:color w:val="000000"/>
          <w:sz w:val="28"/>
          <w:szCs w:val="28"/>
        </w:rPr>
        <w:t>Розділ IIІ</w:t>
      </w:r>
      <w:r>
        <w:rPr>
          <w:rFonts w:ascii="Times New Roman" w:hAnsi="Times New Roman"/>
          <w:color w:val="000000"/>
          <w:sz w:val="28"/>
          <w:szCs w:val="28"/>
        </w:rPr>
        <w:br/>
        <w:t xml:space="preserve">КОМПЛЕКСНА РЕКОНСТРУКЦІЯ </w:t>
      </w:r>
      <w:r>
        <w:rPr>
          <w:rFonts w:ascii="Times New Roman" w:hAnsi="Times New Roman"/>
          <w:color w:val="000000"/>
          <w:sz w:val="28"/>
          <w:szCs w:val="28"/>
        </w:rPr>
        <w:br/>
        <w:t>КВАРТАЛІВ (МІКРОРАЙОНІВ)</w:t>
      </w:r>
    </w:p>
    <w:p w:rsidR="00240FA0" w:rsidRDefault="00240FA0" w:rsidP="00240FA0">
      <w:pPr>
        <w:spacing w:before="120" w:after="240"/>
        <w:ind w:left="1724" w:hanging="1157"/>
        <w:rPr>
          <w:rFonts w:ascii="Times New Roman" w:hAnsi="Times New Roman"/>
          <w:color w:val="000000"/>
          <w:sz w:val="28"/>
          <w:szCs w:val="28"/>
        </w:rPr>
      </w:pPr>
      <w:r>
        <w:rPr>
          <w:rFonts w:ascii="Times New Roman" w:hAnsi="Times New Roman"/>
          <w:color w:val="000000"/>
          <w:sz w:val="28"/>
          <w:szCs w:val="28"/>
        </w:rPr>
        <w:t>Стаття 9. Порядок планування робіт із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 Квартали (мікрорайони), які відповідно до цього Закону підлягають комплексній реконструкції, визначаються на підставі генеральних планів та детальних планів територій населених пунктів, комплексних планів просторового розвитку територій територіальної громади з урахуванням технічного стану наявного житлового фонду, визначеного за результатами обстеження та технічної інвентаризації наявних об’єктів нерухомого майна, проведеної органами місцевого самоврядування відповідно до Закону України “Про регулювання містобудівної діяльності”.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2. Органи місцевого самоврядування приймають рішення про віднесення багатоквартирних будинків до застарілого житлового фонду, яке оприлюднюється через засоби масової інформації і в письмовій формі доводиться до відома кожного власника/наймача об’єкта нерухомого майна, розміщеного в межах кварталу (мікрорайону) застарілого житлового фонду.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У разі неможливості доведення інформації про реконструкцію кварталу (мікрорайону) до відома власника/наймача об’єкта нерухомого майна в письмовій формі (місце перебування власника/наймача об’єкта нерухомого майна невідоме, що підтверджується документально, тощо) інформація про реконструкцію кварталу (мікрорайону) в письмовій формі доводиться до відома близьких осіб та членів сім’ї власника/наймача об’єкта нерухомого майна.</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3. Підготовчі роботи та реконструкція єдиних майнових комплексів, розташованих у межах кварталу (мікрорайону), в якому заплановано здійснення заходів із  комплексної реконструкції кварталу (мікрорайону), проводяться за рахунок юридичних осіб, які є власниками цих майнових комплексів, відповідно до затверджених програм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Під час проведення підготовчих робіт розробляється прогнозний розрахунок економічних наслідків реконструкції, техніко-економічний розрахунок винесення підприємств, визначаються майданчики для розміщення зазначених підприємств відповідно до затвердженої містобудівної документації на місцевому рівні, плануються заходи, пов’язані з покращенням стану навколишнього природного середовища, визначається розмір витрат, пов’язаних із відшкодуванням збитків, та джерела їх покриття.</w:t>
      </w:r>
    </w:p>
    <w:p w:rsidR="00240FA0" w:rsidRDefault="00240FA0" w:rsidP="00240FA0">
      <w:pPr>
        <w:spacing w:before="360" w:after="240"/>
        <w:ind w:left="1860" w:hanging="1293"/>
        <w:rPr>
          <w:rFonts w:ascii="Times New Roman" w:hAnsi="Times New Roman"/>
          <w:color w:val="000000"/>
          <w:sz w:val="28"/>
          <w:szCs w:val="28"/>
        </w:rPr>
      </w:pPr>
      <w:r>
        <w:rPr>
          <w:rFonts w:ascii="Times New Roman" w:hAnsi="Times New Roman"/>
          <w:color w:val="000000"/>
          <w:sz w:val="28"/>
          <w:szCs w:val="28"/>
        </w:rPr>
        <w:t>Стаття 10. Порядок здійснення заходів із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Комплексна реконструкція кварталів (мікрорайонів) здійснюється шляхом реалізації проекту комплексної реконструкції кварталу (мікрорайону), в якому обов’язково передбачаються заходи, спрямовані на покращення санітарного та екологічного стану відповідної території населеного пункту, а також фінансове забезпечення винесення виробничих об’єктів — джерел забруднення навколишнього природного середовища за межі території зони житлової забудови населеного пункту.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Рішення про здійснення заходів із комплексної реконструкції кварталів (мікрорайонів) приймається сільською, селищною, міською радою шляхом затвердження проекту комплексної реконструкції кварталів (мікрорайонів), яким визначаються: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квартали (мікрорайони), у межах яких повинні здійснюватися заходи із комплексної реконструкції застарілого житлового фонду, соціальної та інженерно-транспортної інфраструктури;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площа території, в межах якої повинні здійснюватися заходи із комплексної реконструкції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обсяг і технічний стан застарілого житлового фонду, який підлягає комплексній реконструкції шляхом знесення, із подальшим новим будівництвом багатоквартирного будинку або споруди того самого призначення;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обсяг і технічний стан нежитлового фонду, розміщеного у кварталах (мікрорайонах);</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планувальна структура кварталу (мікрорайону);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обсяги та вартість робіт із зведення багатоквартирних будинків і об’єктів соціального обслуговування та інженерно-транспортної інфраструктури;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обсяг житлових/нежитлових приміщень, що вилучаються з подальшим наданням рівноцінних житлових/нежитлових приміщень або грошової компенсації;</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обсяг житлових/нежитлових приміщень, що можуть бути побудовані з метою їх комерційної реалізації;</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проектна щільність забудови, черговість і пускові комплекси, умови щодо стартових багатоквартирних будинків або необхідного маневреного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орієнтовна вартість реалізації проекту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черговість здійснення заходів із комплексної реконструкції багатоквартирних будинків, об’єктів інженерно-транспортної та соціальної інфраструктури в межах кварталів (мікрорайонів) застарілого житлового фонду.</w:t>
      </w:r>
    </w:p>
    <w:p w:rsidR="00240FA0" w:rsidRDefault="00240FA0" w:rsidP="00240FA0">
      <w:pPr>
        <w:tabs>
          <w:tab w:val="left" w:pos="426"/>
          <w:tab w:val="left" w:pos="851"/>
          <w:tab w:val="left" w:pos="1418"/>
        </w:tabs>
        <w:spacing w:before="120"/>
        <w:ind w:firstLine="567"/>
        <w:jc w:val="both"/>
        <w:rPr>
          <w:rFonts w:ascii="Times New Roman" w:hAnsi="Times New Roman"/>
          <w:color w:val="000000"/>
          <w:sz w:val="28"/>
          <w:szCs w:val="28"/>
        </w:rPr>
      </w:pPr>
      <w:r>
        <w:rPr>
          <w:rFonts w:ascii="Times New Roman" w:hAnsi="Times New Roman"/>
          <w:color w:val="000000"/>
          <w:sz w:val="28"/>
          <w:szCs w:val="28"/>
        </w:rPr>
        <w:t>3. Прийняття рішення про комплексну реконструкцію багатоквартирного будинку в межах кварталу (мікрорайону) приймається в порядку, визначеному статтею 10 Закону України “Про особливості здійснення права власності у багатоквартирному будинку”. Відселення власників/наймачів об’єктів нерухомого майна здійснюється на підставі письмового договору, укладеного інвестором-забудовником із кожним власником та відповідальним наймачем окремо.</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Якщо під час зборів співвласників багатоквартирного будинку для прийняття рішення про комплексну реконструкцію багатоквартирного будинку не набрано необхідної кількості голосів, яка встановлена статтею 10 Закону України “Про особливості здійснення права власності у багатоквартирному будинку”, рішення вважається неприйнятим.</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Такий багатоквартирний будинок виключається з проекту комплексної реконструкції кварталів (мікрорайонів).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Рішення про виключення багатоквартирного будинку з проекту комплексної реконструкції кварталів (мікрорайонів) доводиться до відома власника/наймача об’єкта нерухомого майна шляхом надсилання йому рекомендованим листом письмового повідомлення.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Виключення багатоквартирного будинку з проекту комплексної реконструкції кварталів (мікрорайонів) не впливає на здійснення заходів із реконструкції об’єктів соціальної та інженерно-транспортної інфраструктури.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5. Розгляд питання про відчуження земельних ділянок, розташованих у межах кварталу (мікрорайону), в якому заплановано здійснення заходів із  комплексної реконструкції кварталу (мікрорайону), припиняється в разі незгоди більше як 25 відсотків власників таких земельних ділянок, про що власник земельної ділянки повідомляється шляхом надсилання письмового повідомлення.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6. З дати доведення до відома власників/наймачів об’єктів нерухомого майна інформації про прийняття рішення щодо віднесення багатоквартирного будинку до застарілого житлового фонду власник житлового/нежитлового приміщення зобов’язаний повідомити особу, з якою укладено договір про надання житлового приміщення в маневреному житловому фонді для тимчасового проживання на час проведення будівельних робіт, про вчинення будь-яких дій, спрямованих на зміну прав та обов’язків власника об’єкта нерухомого майна.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7. Примусове відчуження земельних ділянок із мотивів суспільної потреби в разі відсутності згоди власників здійснюється  в судовому порядку.</w:t>
      </w:r>
    </w:p>
    <w:p w:rsidR="00240FA0" w:rsidRDefault="00240FA0" w:rsidP="00240FA0">
      <w:pPr>
        <w:spacing w:before="360" w:after="240"/>
        <w:ind w:left="1848" w:hanging="1281"/>
        <w:rPr>
          <w:rFonts w:ascii="Times New Roman" w:hAnsi="Times New Roman"/>
          <w:color w:val="000000"/>
          <w:sz w:val="28"/>
          <w:szCs w:val="28"/>
        </w:rPr>
      </w:pPr>
      <w:r>
        <w:rPr>
          <w:rFonts w:ascii="Times New Roman" w:hAnsi="Times New Roman"/>
          <w:color w:val="000000"/>
          <w:sz w:val="28"/>
          <w:szCs w:val="28"/>
        </w:rPr>
        <w:t>Стаття 11. Способи здійснення заходів із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Заходами із комплексної реконструкції кварталу (мікрорайону) є:</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реконструкція, у тому числі модернізація, багатоквартирного будинку в межах кварталу (мікрорайону);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знесення багатоквартирних будинків у межах кварталу (мікрорайону) з подальшим новим будівництвом об’єктів;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реконструкція об’єктів інженерно-транспортної та соціальної інфраструктури, розташованих у межах кварталу (мікрорайону).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Спосіб здійснення заходів із комплексної реконструкції кварталу (мікрорайону) обирається на підставі програм комплексної реконструкції кварталів (мікрорайонів) та матеріалів затверджених проектів комплексної реконструкції, які розробляються з урахуванням  результатів технічного обстеження будівель і споруд, їх енергетичного аудиту та техніко-економічних розрахунків.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3. Квартали (мікрорайони), в яких будуть здійснюватися заходи із комплексної реконструкції, попередні обсяги комплексної реконструкції, черговість здійснення заходів із комплексної реконструкції визначаються на стадії розроблення містобудівної документації на місцевому рівні.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Перелік будівельних робіт, що можуть виконуватися без зупинення експлуатації об’єкта нерухомого майна, затверджується центральним органом виконавчої влади,  що забезпечує формування державної політики у сфері містобудування, будівництва та архітектури.</w:t>
      </w:r>
    </w:p>
    <w:p w:rsidR="00240FA0" w:rsidRDefault="00240FA0" w:rsidP="00240FA0">
      <w:pPr>
        <w:spacing w:before="360" w:after="240"/>
        <w:ind w:left="1877" w:hanging="1310"/>
        <w:rPr>
          <w:rFonts w:ascii="Times New Roman" w:hAnsi="Times New Roman"/>
          <w:color w:val="000000"/>
          <w:sz w:val="28"/>
          <w:szCs w:val="28"/>
        </w:rPr>
      </w:pPr>
      <w:r>
        <w:rPr>
          <w:rFonts w:ascii="Times New Roman" w:hAnsi="Times New Roman"/>
          <w:color w:val="000000"/>
          <w:sz w:val="28"/>
          <w:szCs w:val="28"/>
        </w:rPr>
        <w:t>Стаття 12. Реконструкція багатоквартирних будинків в межах кварталу (мікрорайону)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 Реконструкція багатоквартирного будинку в межах кварталу (мікрорайону) проводиться двома способами: з обов’язковим відселенням власників/наймачів житлових/нежитлових приміщень або без відселення.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Реконструкція багатоквартирного будинку в межах кварталу (мікрорайону) може здійснюватися шляхом прийняття рішення про його модернізацію, яка передбачає:</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ліквідацію наслідків фізичного зносу цих будівель з оновленням внутрішнього та зовнішнього опорядження, ремонтом приміщень спільного користування будинків;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заміну інженерного обладнання або його оновлення;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установку енергоефективних вікон і дверей, утеплення фасаду, обладнання багатоквартирних будинків засобами обліку і регулювання споживання води та теплової енергії;</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пристосування для потреб осіб з інвалідністю та інших маломобільних груп населення.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3. У разі проведення реконструкції багатоквартирного будинку з обов’язковим відселенням власників/наймачів житлових/нежитлових приміщень відселення власників/наймачів житлових/нежитлових приміщень здійснюється у маневрений житловий фонд для тимчасового проживання на період здійснення заходів з реконструкції багатоквартирного будинку, що засвідчується договором про надання житлового приміщення в маневреному житловому фонді для тимчасового проживання на час проведення будівельних робіт. У разі відмови власника/наймача житлового/нежитлового приміщення від відселення примусове відселення здійснюється після набрання законної сили рішенням суду.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Відселення з багатоквартирного будинку, визнаного в установленому законодавством порядку непридатним для проживання, здійснюється в примусовому порядку (без згоди власників/наймачів житлових/нежитлових приміщень) за рішенням суду, за вибором власників/наймачів житлових/нежитлових приміщень у маневрений житловий фонд для тимчасового проживання або у стартовий багатоквартирний будинок на постійній основі, що засвідчується договором про надання житлового приміщення в маневреному житловому фонді для тимчасового проживання на час проведення будівельних робіт або договором про надання житлового приміщення в стартовому багатоквартирному будинку на час проведення будівельних робіт.</w:t>
      </w:r>
    </w:p>
    <w:p w:rsidR="00240FA0" w:rsidRDefault="00240FA0" w:rsidP="00240FA0">
      <w:pPr>
        <w:tabs>
          <w:tab w:val="left" w:pos="567"/>
          <w:tab w:val="left" w:pos="1276"/>
          <w:tab w:val="left" w:pos="1418"/>
        </w:tabs>
        <w:spacing w:before="120"/>
        <w:ind w:firstLine="567"/>
        <w:jc w:val="both"/>
        <w:rPr>
          <w:rFonts w:ascii="Times New Roman" w:hAnsi="Times New Roman"/>
          <w:color w:val="000000"/>
          <w:sz w:val="28"/>
          <w:szCs w:val="28"/>
        </w:rPr>
      </w:pPr>
      <w:r>
        <w:rPr>
          <w:rFonts w:ascii="Times New Roman" w:hAnsi="Times New Roman"/>
          <w:color w:val="000000"/>
          <w:sz w:val="28"/>
          <w:szCs w:val="28"/>
        </w:rPr>
        <w:t>5. Власники/наймачі житлових/нежитлових приміщень повідомляються про відселення в маневрений житловий фонд або у стартовий багатоквартирний будинок не пізніше ніж за два місяці до початку здійснення заходів із комплексної реконструкції кварталу (мікрорайону).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6. У разі коли реконструкція багатоквартирного будинку обумовлює зупинення його експлуатації на час проведення будівельних робіт, під час яких відбувається повна або часткова заміна конструкційних та огороджувальних елементів та/або систем інженерного обладнання, такій реконструкції має передувати надання власникам/наймачам житлових приміщень, розташованих у таких об’єктах, рівноцінних житлових приміщень у маневреному житловому фонді в тимчасове користування на весь час проведення комплексної реконструкції на підставі договору найму житлового приміщення. Власникам/наймачам нежитлових приміщень, розташованих у таких об’єктах, на весь час проведення комплексної реконструкції надаються нежитлові приміщення в тимчасове користування на підставі договору оренди нежитлового приміщення.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7. Договір найму житлового приміщення та договір оренди нежитлового приміщення укладаються відповідно між власником/уповноваженим наймачем та інвестором-забудовником і органом місцевого самоврядування згідно з  Типовою формою,  затвердженою Кабінетом Міністрів України, і підлягає нотаріальному посвідченню.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8. Істотними умовами договору найму житлового приміщення та оренди нежитлового приміщення є:</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характеристика об’єкта нерухомого майна, що надається в користування, та його адреса;</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строк користування, порядок його продовження;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розмір і перелік житлово-комунальних послуг, строк та порядок їх оплати;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строк вивільнення житлового/нежитлового приміщення в багатоквартирному будинку, що підлягає обов’язковому вивільненню;</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порядок компенсації документально підтверджених витрат на транспортні, вантажні та інші послуги, пов</w:t>
      </w:r>
      <w:r>
        <w:rPr>
          <w:rFonts w:ascii="Times New Roman" w:hAnsi="Times New Roman"/>
          <w:color w:val="000000"/>
          <w:sz w:val="28"/>
          <w:szCs w:val="28"/>
          <w:lang w:val="ru-RU"/>
        </w:rPr>
        <w:t>’</w:t>
      </w:r>
      <w:r>
        <w:rPr>
          <w:rFonts w:ascii="Times New Roman" w:hAnsi="Times New Roman"/>
          <w:color w:val="000000"/>
          <w:sz w:val="28"/>
          <w:szCs w:val="28"/>
        </w:rPr>
        <w:t>язані з відселенням, із зазначенням суб’єкта, який оплачуватиме такі витрати.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9. У разі коли власник житлового/нежитлового приміщення, розташованого в багатоквартирному будинку, який підлягає обов’язковому вивільненню на час комплексної реконструкції, відмовляється від укладення договору про надання рівноцінного об’єкта нерухомого майна (житлового/нежитлового приміщення), йому може бути надана грошова компенсація за об’єкт нерухомого майна в порядку та на умовах, визначених законодавством та умовами договору.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10. У разі прийняття рішення про проведення комплексної реконструкції багатоквартирного будинку без відселення власників житлових/нежитлових приміщень за бажанням власника житлового приміщення, що розміщене в багатоквартирному будинку, надається рівноцінне житлове приміщення в маневреному житловому фонді для тимчасового проживання на час проведення будівельних робіт у відповідному багатоквартирному будинку. Договір найму житлового приміщення укладається на час проведення будівельних робіт між власником житлового приміщення, інвестором-забудовником і власником маневреного житлового фонду.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11. Власник/наймач, який отримав у тимчасове користування житлове  та/або нежитлове приміщення, щомісяця здійснює оплату за спожиті житлово-комунальні послуги (послуги з постачання та розподілу природного газу, постачання та розподілу електричної енергії, постачання теплової енергії, централізованого водопостачання та водовідведення, поводження з побутовими відходами) та повідомляє надавачеві житлово-комунальних послуг про зміну умов договору про надання житлово-комунальних послуг у строк, що не перевищує 15 календарних днів з дати укладення договору про тимчасове користування житловим/нежитловим приміщенням. Зміна договору про надання житлово-комунальних послуг здійснюється відповідно до вимог Закону України “Про житлово-комунальні послуги”.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12. Проектом комплексної реконструкції кварталу (мікрорайону) без зупинення експлуатації об’єкта реконструкції кварталу (мікрорайону) застарілого житлового фонду передбачається, зокрема:</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відновлення властивостей будівель і їх окремих частин до рівня, визначеного нормативними документами;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заміна інженерного обладнання об’єкта або його істотне оновлення;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ремонт та/або заміна окремих конструкцій або їх елементів (зміцнення фундаменту, ремонт або заміна даху, зовнішніх комунікацій (інженерних  мереж);</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визначення максимальної площі надбудови, розмір якої обмежується несучою здатністю конструкційних елементів будівлі, визначеною за результатами технічного обстеження;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здійснення заходів із забезпечення економічно доцільного  рівня енергетичної ефективності будівель відповідно до Закону України “Про енергетичну ефективність будівель”.</w:t>
      </w:r>
    </w:p>
    <w:p w:rsidR="00240FA0" w:rsidRDefault="00240FA0" w:rsidP="00240FA0">
      <w:pPr>
        <w:spacing w:before="360" w:after="240"/>
        <w:ind w:left="1860" w:hanging="1293"/>
        <w:rPr>
          <w:rFonts w:ascii="Times New Roman" w:hAnsi="Times New Roman"/>
          <w:color w:val="000000"/>
          <w:sz w:val="28"/>
          <w:szCs w:val="28"/>
        </w:rPr>
      </w:pPr>
      <w:r>
        <w:rPr>
          <w:rFonts w:ascii="Times New Roman" w:hAnsi="Times New Roman"/>
          <w:color w:val="000000"/>
          <w:sz w:val="28"/>
          <w:szCs w:val="28"/>
        </w:rPr>
        <w:t>Стаття 13. Знесення багатоквартирних будинків у межах кварталу (мікрорайону) з подальшим новим будівництвом</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Знесення багатоквартирних будинків, що експлуатуються, із подальшим будівництвом нових допускається виключно в тому разі, коли застосування інших способів реконструкції, що передбачені цим Законом, не є можливими.</w:t>
      </w:r>
    </w:p>
    <w:p w:rsidR="00240FA0" w:rsidRDefault="00240FA0" w:rsidP="00240FA0">
      <w:pPr>
        <w:tabs>
          <w:tab w:val="left" w:pos="426"/>
          <w:tab w:val="left" w:pos="709"/>
          <w:tab w:val="left" w:pos="851"/>
          <w:tab w:val="left" w:pos="993"/>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2. Знесенню багатоквартирних будинків передує надання власникам/наймачам житлових/нежитлових приміщень, що розміщені в такому будинку, за їх вибором інших рівноцінних житлових/нежитлових приміщень, що розташовані у стартовому багатоквартирному будинку чи в маневреному житловому фонді, або компенсація їх вартості у випадках, передбачених цим Законом.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3. Надання житлового приміщення в іншому багатоквартирному будинку в разі отримання інвестором-забудовником згоди на відселення здійснюється згідно з нормами законодавства.</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4. Знесення багатоквартирних будинків, у тому числі непридатних для проживання, у межах кварталу (мікрорайону) із подальшим новим будівництвом здійснюється згідно з черговістю, що визначена проектом комплексної реконструкції кварталу (мікрорайону) застарілого житлового фонду.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5. У разі знесення багатоквартирних будинків із подальшим новим будівництвом допускається підвищення поверховості нової забудови в межах, визначених детальним планом територій.</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6. Стартові багатоквартирні будинки повинні будуватися в межах кварталу (мікрорайону), що підлягає комплексній реконструкції, а в разі неможливості – у суміжних кварталах (мікрорайонах) відповідного населеного пункту. Кількість житлових приміщень в стартовому будинку не може бути меншою за кількість житлових приміщень у багатоквартирному будинку, який підлягає знесенню.</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7. Земельні ділянки для будівництва стартових багатоквартирних будинків надаються в оренду інвесторові-забудовникові на період будівництва в порядку, визначеному земельним законодавством, на підставі рішень органів місцевого самоврядування.</w:t>
      </w:r>
    </w:p>
    <w:p w:rsidR="00240FA0" w:rsidRDefault="00240FA0" w:rsidP="00240FA0">
      <w:pPr>
        <w:spacing w:before="360" w:after="240"/>
        <w:ind w:firstLine="567"/>
        <w:jc w:val="both"/>
        <w:rPr>
          <w:rFonts w:ascii="Times New Roman" w:hAnsi="Times New Roman"/>
          <w:color w:val="000000"/>
          <w:sz w:val="28"/>
          <w:szCs w:val="28"/>
        </w:rPr>
      </w:pPr>
      <w:r>
        <w:rPr>
          <w:rFonts w:ascii="Times New Roman" w:hAnsi="Times New Roman"/>
          <w:color w:val="000000"/>
          <w:sz w:val="28"/>
          <w:szCs w:val="28"/>
        </w:rPr>
        <w:t>Стаття 14. Особливості договірних відносин</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 Договір про комплексну реконструкцію кварталу (мікрорайону) застарілого житлового фонду укладається органом місцевого самоврядування, який прийняв рішення про комплексну реконструкцію кварталу (мікрорайону) застарілого житлового фонду (замовник реконструкції кварталу (мікрорайону), із переможцем відкритого конкурсу на право надання послуг та виконання робіт із комплексної реконструкції кварталів (мікрорайонів) (замовник будівництва).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Істотними умовами договору, зазначеного в частині першій цієї статті, зокрема, є:</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розмежування зобов’язань сторін щодо здійснення заходів, необхідних для здійснення комплексної реконструкції кварталів (мікрорайонів), формування земельних ділянок, встановлення земельних сервітутів, забезпечення державної реєстрації речових прав на земельні ділянки та/або розміщені на них об’єкти нерухомого майна;</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зобов’язання інвестора-забудовника щодо підготовки і надання органові місцевого самоврядування містобудівної документації на місцевому рівні відповідно до Закону України “Про регулювання містобудівної діяльності”;</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3) зобов’язання органу місцевого самоврядування щодо затвердження містобудівної документації на місцевому рівні на територію, що передбачена для комплексної реконструкції кварталу (мікрорайону), і визначення максимального строку виконання такого зобов’язання;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зобов’язання інвестора-забудовника щодо здійснення нового будівництва, реконструкції, капітального ремонту об’єктів будівництва на території, що передбачена для комплексної реконструкції кварталу (мікрорайону), відповідно до затвердженої  містобудівної документації на місцевому рівні та визначення етапів і максимальних строків здійснення нового будівництва, реконструкції, капітального ремонту об’єктів будівництва;</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5) зобов’язання органу місцевого самоврядування щодо забезпечення реконструкції, капітального ремонту об’єктів соціальної та інженерно-транспортної інфраструктури або зобов’язання особи, що уклала договір про реалізацію проекту комплексної реконструкції кварталу (мікрорайону), здійснення нового будівництва таких об’єктів за рахунок власних коштів та визначення етапів і максимальних строків здійснення нового будівництва, реконструкції, капітального ремонту зазначених об’єктів;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6) зобов’язання інвестора-забудовника щодо забезпечення розміщення об’єктів будівництва за рахунок власних коштів відповідно до випереджаючих графіків проектування, нового будівництва, реконструкції, капітального ремонту об’єктів соціальної та/або інженерно-транспортної інфраструктури;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7) зобов’язання органу місцевого самоврядування щодо надання особі, яка уклала договір, земельної ділянки комунальної власності в порядку, визначеному земельним законодавством, з метою нового будівництва об’єктів соціальної, інженерно-транспортної інфраструктури та визначення максимальних строків виконання такого зобов’язання;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8) зобов’язання інвестора-забудовника та/або органу місцевого самоврядування щодо забезпечення створення необхідного маневреного житлового фонду до початку реалізації проекту комплексної реконструкції кварталу (мікрорайону);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9) строки та етапи здійснення заходів із комплексної реконструкції кварталів (мікрорайонів) з урахуванням граничних строків завершення спорудження об’єктів будівництва;</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10) джерела фінансування заходів із комплексної реконструкції кварталів (мікрорайонів) із визначенням частки співфінансування таких заходів;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11) страхування ризиків, пов’язаних із виконанням будівельних робіт, з обов’язковим зазначенням  обсягу і строків такого страхування;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12) організація заходів із вивезення та утилізації відходів, що утворюються під час здійснення заходів із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13) строк дії договору;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14) види пільг (за наявності), які надаються інвесторові-забудовникові відповідно до законодавства, а також умови їх надання або припинення;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15) відповідальність сторін за невиконання зобов’язань, передбачених договором, у тому числі фінансові гарантії щодо завершення будівництва/ реконструкції;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16) підстави та порядок припинення дії договору.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3. У договорі зазначаються: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відомості про земельні ділянки в межах кварталів (мікрорайонів) застарілого житлового фонду (кадастрові номери земельних ділянок, цільове призначення, площа, їх місце розташування), інформація про будівлі (споруди) в межах кварталу (мікрорайону) застарілого житлового фонду, у  тому числі ті, які підлягають реконструкції або знесенню;</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відомості про правовстановлюючі документи на земельні ділянки і розміщені на них об’єкти нерухомого майна;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інформація про зареєстровані речові права на нерухоме майно, об’єкти незавершеного будівництва, їх обтяження, про об’єкти та суб’єктів цих прав, яка міститься в  Державному реєстрі речових прав на нерухоме майно;</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інформація про територію, у межах якої розташований квартал (мікрорайон) застарілого житлового фонду, що підлягає комплексній реконструкції згідно з рішенням відповідного органу місцевого самоврядування;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загальна вартість робіт із комплексної реконструкції;</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зобов’язання інвестора-забудовника щодо безоплатної передачі об’єктів соціальної та інженерно-транспортної  інфраструктури в комунальну власність після прийняття їх в експлуатацію із зазначенням вичерпного переліку таких об’єктів та умов передачі.</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4. Об’єкти нерухомого майна, що залишилися після задоволення всіх законних вимог власників/наймачів щодо надання рівноцінних об’єктів нерухомого майна, переходять у власність інвестора-забудовника на умовах, визначених договором.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5. У разі наявності заборони щодо відчуження квартири та/або нежитлового приміщення (майнових прав на зазначені об’єкти) однією із сторін договору, пов’язаного із здійсненням заходів із реконструкції  багатоквартирного будинку,  є іпотекодержатель або кредитор.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6. Здійснення тендерних закупівель щодо проведення обстеження та технічної інвентаризації наявних об’єктів нерухомого майна, розташованих в кварталі (мікрорайоні), який підляга</w:t>
      </w:r>
      <w:r w:rsidR="008B1E56">
        <w:rPr>
          <w:rFonts w:ascii="Times New Roman" w:hAnsi="Times New Roman"/>
          <w:color w:val="000000"/>
          <w:sz w:val="28"/>
          <w:szCs w:val="28"/>
        </w:rPr>
        <w:t>є</w:t>
      </w:r>
      <w:r>
        <w:rPr>
          <w:rFonts w:ascii="Times New Roman" w:hAnsi="Times New Roman"/>
          <w:color w:val="000000"/>
          <w:sz w:val="28"/>
          <w:szCs w:val="28"/>
        </w:rPr>
        <w:t xml:space="preserve"> комплексній реконструкції, здійснюється відповідно до Закону України </w:t>
      </w:r>
      <w:r w:rsidR="008B1E56">
        <w:rPr>
          <w:rFonts w:ascii="Times New Roman" w:hAnsi="Times New Roman"/>
          <w:color w:val="000000"/>
          <w:sz w:val="28"/>
          <w:szCs w:val="28"/>
        </w:rPr>
        <w:t>“</w:t>
      </w:r>
      <w:r>
        <w:rPr>
          <w:rFonts w:ascii="Times New Roman" w:hAnsi="Times New Roman"/>
          <w:color w:val="000000"/>
          <w:sz w:val="28"/>
          <w:szCs w:val="28"/>
        </w:rPr>
        <w:t>Про публічні закупівлі</w:t>
      </w:r>
      <w:r w:rsidR="008B1E56">
        <w:rPr>
          <w:rFonts w:ascii="Times New Roman" w:hAnsi="Times New Roman"/>
          <w:color w:val="000000"/>
          <w:sz w:val="28"/>
          <w:szCs w:val="28"/>
        </w:rPr>
        <w:t>”</w:t>
      </w:r>
      <w:r>
        <w:rPr>
          <w:rFonts w:ascii="Times New Roman" w:hAnsi="Times New Roman"/>
          <w:color w:val="000000"/>
          <w:sz w:val="28"/>
          <w:szCs w:val="28"/>
        </w:rPr>
        <w:t>.</w:t>
      </w:r>
    </w:p>
    <w:p w:rsidR="00240FA0" w:rsidRDefault="00240FA0" w:rsidP="00240FA0">
      <w:pPr>
        <w:spacing w:before="360" w:after="240"/>
        <w:ind w:left="1888" w:hanging="1321"/>
        <w:rPr>
          <w:rFonts w:ascii="Times New Roman" w:hAnsi="Times New Roman"/>
          <w:color w:val="000000"/>
          <w:sz w:val="28"/>
          <w:szCs w:val="28"/>
        </w:rPr>
      </w:pPr>
      <w:r>
        <w:rPr>
          <w:rFonts w:ascii="Times New Roman" w:hAnsi="Times New Roman"/>
          <w:color w:val="000000"/>
          <w:sz w:val="28"/>
          <w:szCs w:val="28"/>
        </w:rPr>
        <w:t>Стаття 15. Реалізація проектів виконання програм комплексної реконструкції кварталів (мікрорайонів)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Реалізація проектів комплексної реконструкції кварталів (мікрорайонів) здійснюється за умови попереднього і повного відшкодування власникам/наймачам житлових/нежитлових приміщень вартості втрат шляхом надання за їх згодою інших рівноцінних житлових/нежитлових приміщень або грошової компенсації відповідно до договорів, попередньо укладених інвестором-забудовником із кожним власником/наймачем цих приміщень, крім випадків тимчасового відселення в маневрений житловий фонд на час до надання житла в установленому законом порядку.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Власнику житлового/нежитлового приміщення, що розташоване в багатоквартирному будинку, який підлягає відселенню, за його письмовою заявою надається житлове/нежитлове приміщення чи грошова компенсація ринкової вартості житлового/нежитлового приміщення станом на дату укладення договору.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3. Розмір грошової компенсації за квартиру та/або нежитлове приміщення визначається на підставі оцінки майна, проведеної відповідно до Закону України “Про оцінку майна, майнових прав та професійну оціночну діяльність в Україні”.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Згода на відселення власників житлових/нежитлових приміщень і наймачів житлових приміщень у стартові багатоквартирні будинки або маневрений житловий фонд оформляється між інвестором-забудовником і власником житлового/нежитлового приміщення або наймачем житлового приміщення в довільній формі та підлягає нотаріальному посвідченню. Якщо для переселення або тимчасового відселення власників/наймачів житлових/нежитлових приміщень використовуються будівлі, що належать до державного чи комунального житлового фонду, то укладається тристоронній договір, сторонами якого є власники/наймачі житлових/нежитлових приміщень, органи місцевого самоврядування та інвестори-забудовники.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5. Наймачі житлових приміщень державного житлового фонду, що розміщені у багатоквартирних будинках, що підлягають реконструкції, які не перебувають на обліку громадян, що потребують поліпшення житлових умов, за їх згодою мають право отримати на умовах компенсації в межах території населеного пункту інше рівноцінне житлове приміщення, кількість кімнат та площа якого не менше кількості кімнат та площі житлового приміщення, що розташоване в багатоквартирному будинку, що підлягає знесенню, незалежно від числа зареєстрованих у ньому осіб.</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6. Власникам/наймачам житлових приміщень, розміщених у багатоквартирному будинку, який підпадає під реконструкцію, що перебувають на день прийняття рішення про здійснення заходів із комплексної реконструкції кварталів (мікрорайонів) на обліку громадян, що потребують поліпшення житлових умов, надається рівноцінне за площею та кількістю кімнат житлове приміщення незалежно від числа зареєстрованих у ній осіб. У стартовому будинку надається рівноцінне за площею та кількістю кімнат житлове приміщення в разі знесення багатоквартирного будинку.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7. Включення багатоквартирного будинку до проекту комплексної реконструкції кварталу (мікрорайону) із обов’язковим відселенням є підставою для дострокового припинення договорів користування житловим та/або нежитловим приміщенням, що розміщене в такому будинку, без застосування штрафних санкцій, передбачених відповідним договором, до власника/наймача таких приміщень.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8. У разі якщо під час здійснення реконструкції багатоквартирного будинку відбулося збільшення загальної площі житлового приміщення без згоди на це власника/наймача житлового приміщення не дозволяється примушувати власника/наймача такого житлового приміщення сплачувати вартість таких “надлишкових” метрів.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9. Особам з інвалідністю та законним представникам дітей з інвалідністю, якщо такі особи/діти мають порушення опорно-рухового апарату і пересуваються за допомогою крісла колісного, надаються житлові приміщення в багатоквартирних будинках, обладнаних вантажопідйомними ліфтами та пандусами.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Будівництво нового багатоквартирного будинку здійснюватиметься з дотриманням усіх будівельних норм. Під час здійснення реконструкції багатоквартирного будинку зменшення площі житлового приміщення, у тому числі площі житлових кімнат, забороняється.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10. Якщо власник житлового приміщення бажає отримати житлове приміщення більшої площі, йому може бути запропоновано приміщення більшої площі, ніж передбачено цим Законом, з оплатою ним різниці вартості надлишку загальної площі за ринковою вартістю.</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11. У разі коли власник житлового приміщення бажає отримати житлове приміщення меншої площі, ніж передбачено цим Законом, йому може бути запропоновано таке приміщення з оплатою інвестором-забудовником різниці площі за ринковою вартістю.</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12. Власник житлового приміщення має позачергове право в місячний строк з дня переселення на підключення в установленому законодавством порядку до мережі телефонного зв’язку за рахунок інвестора-забудовника в разі, коли викуплене в нього житлове приміщення було обладнано засобами телефонного зв’язку.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13. Власник нежитлового приміщення, що розміщене в багатоквартирному будинку, який підлягає знесенню, має право на грошову компенсацію за його ринковою вартістю. Власник гаража в разі його знесення, за згодою, оформленою у довільній формі, має право на грошову компенсацію за його ринковою вартістю або на місце на організованій автостоянці чи паркінгу в межах пішохідної доступності до нового місця проживання за рахунок інвестора-забудовника.</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14. Особа з інвалідністю із захворюванням опорно-рухового апарату, яка є власником гаража, має право на грошову компенсацію за його ринковою вартістю або на місце за її вибором у наземному чи підземному паркінгу поряд із місцем проживання в маневреному житловому фонді до вселення в нове житлове приміщення.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15. Власники житлових/нежитлових приміщень, яким відповідно до цього Закону надаються рівноцінні житлові/нежитлові приміщення на праві власності, звільняються від адміністративного збору під час проведення державної реєстрації речових прав відповідно до вимог Закону України “Про державну реєстрацію речових прав на нерухоме майно та їх обтяжень”. </w:t>
      </w:r>
    </w:p>
    <w:p w:rsidR="00240FA0" w:rsidRDefault="00240FA0" w:rsidP="00240FA0">
      <w:pPr>
        <w:spacing w:before="60"/>
        <w:ind w:firstLine="567"/>
        <w:jc w:val="both"/>
        <w:rPr>
          <w:rFonts w:ascii="Times New Roman" w:hAnsi="Times New Roman"/>
          <w:color w:val="000000"/>
          <w:sz w:val="28"/>
          <w:szCs w:val="28"/>
        </w:rPr>
      </w:pPr>
      <w:r>
        <w:rPr>
          <w:rFonts w:ascii="Times New Roman" w:hAnsi="Times New Roman"/>
          <w:color w:val="000000"/>
          <w:sz w:val="28"/>
          <w:szCs w:val="28"/>
        </w:rPr>
        <w:t>16. Оплата нотаріальних послуг за посвідчення таких договорів здійснюється інвестором-забудовником або органом місцевого самоврядування.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17. Викуп земельної ділянки, інших об’єктів нерухомого майна, що на ній розміщені, для суспільних потреб здійснюється відповідно до вимог та в порядку, передбаченому Земельним кодексом України та Законом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Експертна грошова оцінка земельних ділянок здійснюється відповідно до Закону України “Про оцінку земель”.</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18. Спори, що виникають у зв’язку із здійсненням заходів із комплексної реконструкції кварталу (мікрорайону) застарілого житлового фонду, вирішуються в судовому порядку.</w:t>
      </w:r>
    </w:p>
    <w:p w:rsidR="00240FA0" w:rsidRDefault="00240FA0" w:rsidP="00240FA0">
      <w:pPr>
        <w:spacing w:before="360" w:after="240"/>
        <w:ind w:firstLine="567"/>
        <w:jc w:val="both"/>
        <w:rPr>
          <w:rFonts w:ascii="Times New Roman" w:hAnsi="Times New Roman"/>
          <w:color w:val="000000"/>
          <w:sz w:val="28"/>
          <w:szCs w:val="28"/>
        </w:rPr>
      </w:pPr>
      <w:r>
        <w:rPr>
          <w:rFonts w:ascii="Times New Roman" w:hAnsi="Times New Roman"/>
          <w:color w:val="000000"/>
          <w:sz w:val="28"/>
          <w:szCs w:val="28"/>
        </w:rPr>
        <w:t xml:space="preserve">Стаття 16. Визначення ринкової вартості об’єктів нерухомого майна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 Визначення ринкової вартості об’єктів нерухомого майна здійснюється суб’єктами оціночної діяльності відповідно до вимог Закону України “Про оцінку майна, майнових прав та професійну оціночну діяльність в Україні”, які визначаються органом місцевого самоврядування. Вартість надання  послуг з такої оцінки, рецензування або проведення державної експертизи звітів з експертної грошової оцінки сплачується за рахунок коштів місцевого бюджету. Визначення суб’єктів оціночної діяльності та вартості надання  послуг з визначення ринкової вартості об’єктів нерухомого майна здійснюється відповідно до Закону України </w:t>
      </w:r>
      <w:r w:rsidR="008B1E56">
        <w:rPr>
          <w:rFonts w:ascii="Times New Roman" w:hAnsi="Times New Roman"/>
          <w:color w:val="000000"/>
          <w:sz w:val="28"/>
          <w:szCs w:val="28"/>
        </w:rPr>
        <w:t>“</w:t>
      </w:r>
      <w:r>
        <w:rPr>
          <w:rFonts w:ascii="Times New Roman" w:hAnsi="Times New Roman"/>
          <w:color w:val="000000"/>
          <w:sz w:val="28"/>
          <w:szCs w:val="28"/>
        </w:rPr>
        <w:t>Про публічні закупівлі</w:t>
      </w:r>
      <w:r w:rsidR="008B1E56">
        <w:rPr>
          <w:rFonts w:ascii="Times New Roman" w:hAnsi="Times New Roman"/>
          <w:color w:val="000000"/>
          <w:sz w:val="28"/>
          <w:szCs w:val="28"/>
        </w:rPr>
        <w:t>”</w:t>
      </w:r>
      <w:r>
        <w:rPr>
          <w:rFonts w:ascii="Times New Roman" w:hAnsi="Times New Roman"/>
          <w:color w:val="000000"/>
          <w:sz w:val="28"/>
          <w:szCs w:val="28"/>
        </w:rPr>
        <w:t>.</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У разі коли власник об’єкта нерухомого майна не погоджується з результатами оцінки, проведеної суб’єктом оціночної діяльності, визначеним  органом місцевого самоврядування, він може залучити іншого суб’єкта оціночної діяльності для визначення вартості нерухомого майна чи проведення рецензування звіту з оцінки такого майна. У цьому разі витрати на виконання таких послуг несе власник об’єкта нерухомого майна.</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3. Спори, пов’язані з оцінкою майна, вирішуються в судовому порядку.</w:t>
      </w:r>
    </w:p>
    <w:p w:rsidR="00240FA0" w:rsidRDefault="00240FA0" w:rsidP="00240FA0">
      <w:pPr>
        <w:keepNext/>
        <w:keepLines/>
        <w:spacing w:before="240" w:after="120"/>
        <w:jc w:val="center"/>
        <w:rPr>
          <w:rFonts w:ascii="Times New Roman" w:hAnsi="Times New Roman"/>
          <w:color w:val="000000"/>
          <w:sz w:val="28"/>
          <w:szCs w:val="28"/>
        </w:rPr>
      </w:pPr>
      <w:r>
        <w:rPr>
          <w:rFonts w:ascii="Times New Roman" w:hAnsi="Times New Roman"/>
          <w:color w:val="000000"/>
          <w:sz w:val="28"/>
          <w:szCs w:val="28"/>
        </w:rPr>
        <w:t>Розділ IV</w:t>
      </w:r>
      <w:r>
        <w:rPr>
          <w:rFonts w:ascii="Times New Roman" w:hAnsi="Times New Roman"/>
          <w:color w:val="000000"/>
          <w:sz w:val="28"/>
          <w:szCs w:val="28"/>
        </w:rPr>
        <w:br/>
        <w:t>ОРГАНІЗАЦІЙНО-ПРАВОВІ ОСНОВИ КОМПЛЕКСНОЇ РЕКОНСТРУКЦІЇ КВАРТАЛІВ (МІКРОРАЙОНІВ) ЗАСТАРІЛОГО ЖИТЛОВОГО ФОНДУ</w:t>
      </w:r>
    </w:p>
    <w:p w:rsidR="00240FA0" w:rsidRDefault="00240FA0" w:rsidP="00240FA0">
      <w:pPr>
        <w:spacing w:before="120" w:after="120"/>
        <w:ind w:left="1848" w:hanging="1281"/>
        <w:rPr>
          <w:rFonts w:ascii="Times New Roman" w:hAnsi="Times New Roman"/>
          <w:color w:val="000000"/>
          <w:sz w:val="28"/>
          <w:szCs w:val="28"/>
        </w:rPr>
      </w:pPr>
      <w:r>
        <w:rPr>
          <w:rFonts w:ascii="Times New Roman" w:hAnsi="Times New Roman"/>
          <w:color w:val="000000"/>
          <w:sz w:val="28"/>
          <w:szCs w:val="28"/>
        </w:rPr>
        <w:t>Стаття 17. Джерела фінансування комплексної реконструкції кварталів (мікрорайонів)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Джерелами фінансування заходів із комплексної реконструкції кварталів (мікрорайонів) застарілого житлового фонду є:</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кошти інвесторів-забудовників, які беруть участь у реалізації проекту комплексної реконструкції кварталу (мікрорайону);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кошти державного та/або місцевих бюджетів;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кошти підприємств, установ, організацій, у власності, сфері управління або господарському віданні яких перебувають об’єкти нерухомого майна, будівлі та споруди в межах територій, стосовно яких прийнято рішення про комплексну реконструкцію, у тому числі кошти об’єднань співвласників багатоквартирних будинків;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інші джерела, не заборонені законодавством.</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2. Фінансування заходів із комплексної реконструкції кварталів (мікрорайонів) застарілого житлового фонду здійснюється шляхом цільового фінансування проектів комплексної реконструкції кварталів (мікрорайонів) застарілого житлового фонду.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3. Державна підтримка здійснення заходів із комплексної реконструкції кварталів (мікрорайонів) полягає у співфінансуванні реалізації проектів комплексної реконструкції кварталів (мікрорайонів) застарілого житлового фонду за рахунок коштів державного бюджету, кредитування за рахунок коштів державного бюджету суб’єктів господарювання для реалізації зазначених проектів. </w:t>
      </w:r>
    </w:p>
    <w:p w:rsidR="00240FA0" w:rsidRDefault="00240FA0" w:rsidP="00240FA0">
      <w:pPr>
        <w:spacing w:before="360" w:after="240"/>
        <w:ind w:left="1843" w:hanging="1276"/>
        <w:rPr>
          <w:rFonts w:ascii="Times New Roman" w:hAnsi="Times New Roman"/>
          <w:color w:val="000000"/>
          <w:sz w:val="28"/>
          <w:szCs w:val="28"/>
        </w:rPr>
      </w:pPr>
      <w:r>
        <w:rPr>
          <w:rFonts w:ascii="Times New Roman" w:hAnsi="Times New Roman"/>
          <w:color w:val="000000"/>
          <w:sz w:val="28"/>
          <w:szCs w:val="28"/>
        </w:rPr>
        <w:t>Стаття 18. Організація і проведення конкурсу із залучення інвесторів-забудовників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Орган місцевого самоврядування, який прийняв рішення про здійснення заходів із комплексної реконструкції кварталу (мікрорайону) застарілого житлового фонду, через засоби масової інформації та на своєму веб-сайті не пізніше ніж за 30 календарних днів до дня проведення конкурсу оприлюднює:</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повідомлення про проведення конкурсу, яке має містити: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дані про територію, яка згідно з рішенням відповідного органу місцевого самоврядування про здійснення заходів із комплексної реконструкції кварталів (мікрорайонів) застарілого житлового фонду підлягає комплексній реконструкції;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інформацію про містобудівні умови та обмеження, що діють у межах території, стосовно якої було прийнято рішення про комплексну реконструкцію;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показники мінімально допустимого рівня забезпечення об’єктами соціальної, інженерно-транспортної інфраструктури;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рішення, в якому зазначаються умови і порядок проведення конкурсу, умови кваліфікаційного відбору учасників конкурсу, строк проведення конкурсу.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Обов’язковими умовами конкурсу є:</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створення (наявність) маневреного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наявність досвіду будівництва об’єктів;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строки нового будівництва стартових багатоквартирних будинків та їх характеристики;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забезпечення інвестором-забудовником власників/наймачів об’єктів нерухомого майна, що підлягають обов’язковому вивільненню, рівноцінними об’єктами нерухомого майна або грошовою компенсацією;</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участь інвестора-забудовника у створенні об’єктів соціальної та інженерно-транспортної інфраструктури на території комплексної реконструкції кварталів (мікрорайонів) застарілого житлового фонду на засадах узгодження інтересів територіальних громад та інвесторів-забудовників або за рахунок спільного фінансування з органами місцевого самоврядування.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3. Для організації та проведення конкурсу орган місцевого самоврядування, який прийняв рішення про здійснення заходів із комплексної реконструкції кварталу (мікрорайону) застарілого житлового фонду, утворює конкурсну комісію.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Склад конкурсної комісії має бути непарним і може становити не менше п’яти посадових осіб органу місцевого самоврядування, який прийняв рішення про здійснення заходів із комплексної реконструкції кварталу (мікрорайону) застарілого житлового фонду. Склад конкурсної комісії та положення про неї затверджуються рішенням органу місцевого самоврядування, який прийняв рішення про здійснення заходів із комплексної реконструкції кварталу (мікрорайону) застарілого житлового фонду. До складу конкурсної комісії не можуть входити особи, які в зв’язку із виконанням своїх трудових обов’язків безпосередньо підпорядковані і підконтрольні один одному.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Керівництво конкурсною комісією здійснює її голова, який призначається рішенням органу місцевого самоврядування, який прийняв рішення про здійснення заходів із комплексної реконструкції кварталу (мікрорайону) застарілого житлового фонду. Голова конкурсної комісії організовує її роботу та несе персональну відповідальність за виконання покладених на комісію функцій.</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Рішення конкурсної комісії щодо визначення інвестора-забудовника приймається простою більшістю голосів шляхом відкритого голосування та оформлюється протоколом. У разі рівного розподілу голосів Голов</w:t>
      </w:r>
      <w:r w:rsidR="008B1E56">
        <w:rPr>
          <w:rFonts w:ascii="Times New Roman" w:hAnsi="Times New Roman"/>
          <w:color w:val="000000"/>
          <w:sz w:val="28"/>
          <w:szCs w:val="28"/>
        </w:rPr>
        <w:t>а</w:t>
      </w:r>
      <w:r>
        <w:rPr>
          <w:rFonts w:ascii="Times New Roman" w:hAnsi="Times New Roman"/>
          <w:color w:val="000000"/>
          <w:sz w:val="28"/>
          <w:szCs w:val="28"/>
        </w:rPr>
        <w:t xml:space="preserve"> конкурсної комісії має право вирішального голосу. У рішенні відображаються результати поіменного голосування членів комісії, присутніх на її засіданні, з кожного питання. Протокол підписується всіма членами конкурсної комісії, присутніми на її засіданні. У разі відмови члена конкурсної комісії підписати протокол про це зазначається у протоколі із зазначенням причин відмови. Засідання конкурсної комісії вважається таким, що відбулося, якщо в ньому взяли участь дві третини від затвердженого складу.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5. Конкурс вважається таким, що відбувся, якщо в ньому взяли участь не менше трьох учасників. У разі відсутності встановленої мінімальної кількості заявок конкурс не проводиться. Повторний конкурс оголошується не раніше ніж через два місяці.</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6. Інвесторові-забудовникові може бути відмовлено в участі у конкурсі в разі невідповідності умовам кваліфікаційного відбору учасників конкурсу, подання заявки на участь у конкурсі  після спливу строку її подання.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7. Порядок проведення конкурсу визначається центральним органом виконавчої влади, що забезпечує формування державної політики у сфері містобудування, будівництва та архітектури, а методика визначення початкової ціни здійснення заходів із реконструкції кварталу (мікрорайону) застарілого житлового фонду визначається центральним органом виконавчої влади, що забезпечує реалізацію державної політики у сфері публічних закупівель.</w:t>
      </w:r>
    </w:p>
    <w:p w:rsidR="00240FA0" w:rsidRDefault="00240FA0" w:rsidP="00240FA0">
      <w:pPr>
        <w:spacing w:before="360" w:after="240"/>
        <w:ind w:left="1860" w:hanging="1293"/>
        <w:rPr>
          <w:rFonts w:ascii="Times New Roman" w:hAnsi="Times New Roman"/>
          <w:color w:val="000000"/>
          <w:sz w:val="28"/>
          <w:szCs w:val="28"/>
        </w:rPr>
      </w:pPr>
      <w:r>
        <w:rPr>
          <w:rFonts w:ascii="Times New Roman" w:hAnsi="Times New Roman"/>
          <w:color w:val="000000"/>
          <w:sz w:val="28"/>
          <w:szCs w:val="28"/>
        </w:rPr>
        <w:t>Стаття 19. Особливості здійснення реконструкції в межах історичних ареалів населених місць, зонах охорони пам’яток культурної спадщини, буферних зонах об’єктів всесвітньої спадщини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Реконструкція будівель і споруд у межах історичних ареалів населених місць, зон охорони пам’яток культурної спадщини, буферних зон об’єктів всесвітньої спадщини повинна здійснюватися з урахуванням вимог законодавства про охорону культурної спадщини, містобудівного законодавства та державних будівельних норм.</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2. Основою для прийняття рішень про реконструкцію будівель і споруд у межах історичних ареалів населених місць, зон охорони пам’яток культурної спадщини, буферних зон об’єктів всесвітньої спадщини є визначені та затверджені в установленому порядку межі та режими використання історичних ареалів населених місць, зон охорони пам’яток культурної спадщини, буферних зон об’єктів всесвітньої спадщини.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3. Пріоритетним напрямом містобудівної діяльності в межах історичних ареалів населених місць, зон охорони пам’яток культурної спадщини, буферних зон об’єктів всесвітньої спадщини є збереження традиційного характеру середовища, забезпечення охорони та раціонального використання об’єктів культурної спадщини, максимального збереження історичного середовища та придатного для використання житлового фонду, вдосконалення планувальної структури та мережі вулиць, системи культурно-побутового обслуговування, озеленення територій, упорядкування та інженерного забезпечення, створення безбар’єрного середовища для осіб з інвалідністю та маломобільних груп населення.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В історичних ареалах населених місць, зонах охорони пам’яток культурної спадщини,  буферних зонах об’єктів всесвітньої спадщини знесення окремих будівель і споруд, які не є пам’ятками, щойно виявленими об’єктами культурної спадщини та визнані непридатними для експлуатації відповідно до законодавства та нормативних документів, допускається з дозволу відповідного органу охорони культурної спадщини.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5. Реконструкція будівель і споруд, зазначених у частині четвертій цієї статті, здійснюється за проектами комплексної реконструкції застарілого житлового фонду в межах історичних ареалів населених місць, зон охорони пам’яток культурної спадщини, буферних зон об’єктів всесвітньої спадщини, які розробляються на підставі архітектурних та містобудівних конкурсів.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Проект реконструкції застарілого житлового фонду в межах історичних ареалів населених місць, зонах охорони пам’яток культурної спадщини, буферних зонах об’єктів всесвітньої спадщини підлягає погодженню центральним органом виконавчої влади, що реалізує державну політику у сфері охорони культурної спадщини, у порядку, визначеному центральним органом виконавчої влади, що формує державну політику у сфері охорони культурної спадщини.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6. Обстеження технічного стану будівель і споруд, розташованих в історичних ареалах населених місць, зонах охорони пам’яток культурної спадщини,  буферних зонах об’єктів всесвітньої спадщини, здійснюється згідно із настановою щодо обстеження будівель і споруд для визначення та оцінки їх технічного стану.</w:t>
      </w:r>
    </w:p>
    <w:p w:rsidR="00240FA0" w:rsidRDefault="00240FA0" w:rsidP="00240FA0">
      <w:pPr>
        <w:spacing w:before="360" w:after="240"/>
        <w:ind w:left="1877" w:hanging="1310"/>
        <w:rPr>
          <w:rFonts w:ascii="Times New Roman" w:hAnsi="Times New Roman"/>
          <w:color w:val="000000"/>
          <w:sz w:val="28"/>
          <w:szCs w:val="28"/>
        </w:rPr>
      </w:pPr>
      <w:r>
        <w:rPr>
          <w:rFonts w:ascii="Times New Roman" w:hAnsi="Times New Roman"/>
          <w:color w:val="000000"/>
          <w:sz w:val="28"/>
          <w:szCs w:val="28"/>
        </w:rPr>
        <w:t>Стаття 20. Охорона наявних будівель і споруд під час проектування комплексної реконструкції кварталів (мікрорайонів) застарілого житлового фонду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1. Під час проектування комплексної реконструкції кварталів (мікрорайонів) застарілого житлового фонду передбачаються заходи із забезпечення охорони розташованих поруч багатоквартирних будинків і споруд.</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Поруч розташованими багатоквартирними будинками і спорудами вважаються багатоквартирні будинки і споруди, що розташовані в зоні зміни напружено-деформованого стану ґрунтів основи проектованого багатоквартирного будинку, посиленого впливу вібрації від працюючих будівельних машин, впливу нового багатоквартирного будинку на експлуатаційні якості наявного багатоквартирного будинку (інсоляція, вентиляція, благоустрій, інженерне забезпечення, захист від ґрунтових вод тощо).</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3. У проекті будівництва, у тому числі у проекті організації будівництва, забудовник зобов’язаний розробити заходи щодо запобігання деформації багатоквартирних будинків і споруд наявної забудови під час комплексної реконструкції кварталів (мікрорайонів) застарілого житлового фонду, а також забезпечення нормативних або раніше діючих умов експлуатації цих багатоквартирних будинків і споруд. Зазначені заходи погоджуються з відповідними уповноваженими органами з питань містобудування та архітектури, житлово-комунального господарства, організаціями, що здійснюють управління багатоквартирними будинками за погодженням із власниками та співвласниками таких будинків, об’єднаннями співвласників багатоквартирних будинків та житлово-будівельними кооперативами в порядку, визначеному центральним органом виконавчої влади, що забезпечує формування державної політики у сфері містобудування, будівництва та архітектури.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Вихідні дані для проектування багатоквартирних будинків, що розташовуються поруч з наявними, повинні включати матеріали, що характеризують наявні багатоквартирні будинки (технічна інвентаризація, проектна документація, обмірювальні креслення, акти обстежень поруч розташованих багатоквартирних будинків).</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5. В акті обстеження технічного стану наявного поруч розташованого багатоквартирного будинку і споруди зазначаються: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технічний стан несучих та огороджувальних конструкцій (стін, колон, елементів перекриття, фасадів, покрівлі тощо) з виявленням та фіксуванням (фотографуванням, нумеруванням, протоколюванням та визначенням величини розкриття тріщин тощо) деформації в конструкціях;</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наявність і технічний стан інженерних мереж (внутрішньобудинкових, зовнішніх);</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результати огляду підвалів і підземних споруд;</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комплексна оцінка санітарно-гігієнічних умов ділянки (інженерія, аерація, шумовий режим, вібраційні впливи, шкідливі викиди, підтоплення територій тощо).</w:t>
      </w:r>
    </w:p>
    <w:p w:rsidR="00240FA0" w:rsidRDefault="00240FA0" w:rsidP="00240FA0">
      <w:pPr>
        <w:spacing w:before="360" w:after="240"/>
        <w:ind w:left="1877" w:hanging="1310"/>
        <w:rPr>
          <w:rFonts w:ascii="Times New Roman" w:hAnsi="Times New Roman"/>
          <w:color w:val="000000"/>
          <w:sz w:val="28"/>
          <w:szCs w:val="28"/>
        </w:rPr>
      </w:pPr>
      <w:r>
        <w:rPr>
          <w:rFonts w:ascii="Times New Roman" w:hAnsi="Times New Roman"/>
          <w:color w:val="000000"/>
          <w:sz w:val="28"/>
          <w:szCs w:val="28"/>
        </w:rPr>
        <w:t>Стаття 21. Зміна функціонального призначення наявних будівель і споруд</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 Функціональне призначення будівель і споруд, розташованих у межах кварталу (мікрорайону), який підлягає реконструкції, визначається детальним планом територій. Зміна їх функціонального призначення здійснюється на підставі рішення сільської, селищної, міської ради з урахуванням містобудівної документації на місцевому рівні.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Зміна цільового призначення земельних ділянок проводиться в порядку, встановленому земельним законодавством.</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3. Проектна документація на реконструкцію об’єктів підлягає державній експертизі в установленому законодавством порядку. </w:t>
      </w:r>
    </w:p>
    <w:p w:rsidR="00240FA0" w:rsidRDefault="00240FA0" w:rsidP="00240FA0">
      <w:pPr>
        <w:keepNext/>
        <w:keepLines/>
        <w:spacing w:before="240" w:after="240"/>
        <w:jc w:val="center"/>
        <w:rPr>
          <w:rFonts w:ascii="Times New Roman" w:hAnsi="Times New Roman"/>
          <w:color w:val="000000"/>
          <w:sz w:val="28"/>
          <w:szCs w:val="28"/>
        </w:rPr>
      </w:pPr>
      <w:r>
        <w:rPr>
          <w:rFonts w:ascii="Times New Roman" w:hAnsi="Times New Roman"/>
          <w:color w:val="000000"/>
          <w:sz w:val="28"/>
          <w:szCs w:val="28"/>
        </w:rPr>
        <w:t>Розділ VІ</w:t>
      </w:r>
      <w:r>
        <w:rPr>
          <w:rFonts w:ascii="Times New Roman" w:hAnsi="Times New Roman"/>
          <w:color w:val="000000"/>
          <w:sz w:val="28"/>
          <w:szCs w:val="28"/>
        </w:rPr>
        <w:br/>
        <w:t>ПРИКІНЦЕВІ ТА ПЕРЕХІДНІ ПОЛОЖЕННЯ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 Цей Закон набирає чинності через два роки з дня, наступного за днем його опублікування.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Визнати таким, що втратив чинність, Закон України “Про комплексну реконструкцію кварталів (мікрорайонів) застарілого житлового фонду” (Відомості Верховної Р</w:t>
      </w:r>
      <w:r w:rsidR="008B1E56">
        <w:rPr>
          <w:rFonts w:ascii="Times New Roman" w:hAnsi="Times New Roman"/>
          <w:color w:val="000000"/>
          <w:sz w:val="28"/>
          <w:szCs w:val="28"/>
        </w:rPr>
        <w:t>ади України, 2007 р., № 10, ст. </w:t>
      </w:r>
      <w:r>
        <w:rPr>
          <w:rFonts w:ascii="Times New Roman" w:hAnsi="Times New Roman"/>
          <w:color w:val="000000"/>
          <w:sz w:val="28"/>
          <w:szCs w:val="28"/>
        </w:rPr>
        <w:t>88; 2011 р., № 34, ст. 343; 2013 р., № 48, ст. 682; 2018 р., № 46, ст. 371;  2019 р., № 46, ст. 295, ст. 299).</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3. До приведення законодавства у відповідність із цим Законом нормативно-правові акти застосовуються в частині, що не суперечить цьому Закону.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4. Внести зміни до таких законодавчих актів України: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1) частину першу статті 4 Декрету Кабінету Міністрів України </w:t>
      </w:r>
      <w:r>
        <w:rPr>
          <w:rFonts w:ascii="Times New Roman" w:hAnsi="Times New Roman"/>
          <w:color w:val="000000"/>
          <w:sz w:val="28"/>
          <w:szCs w:val="28"/>
        </w:rPr>
        <w:br/>
        <w:t>від 21 січня 1993 р. № 7–93  “Про державне мито” (Відомості Верховної Ради України, 1993 р., № 13, ст. 113 із наступними змінами) доповнити пунктом 56 такого змісту: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“56) громадяни та суб’єкти господарювання — власники житлових/нежитлових приміщень, яким відповідно до Закону України “Про здійснення комплексної реконструкції кварталів (мікрорайонів) застарілого житлового фонду” надано рівноцінні житлові/нежитлові приміщення на праві власності.”;</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2) у Законі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(Відомості Верховної Ради України, 2010 р., № 1, ст. 2 із наступними змінами):</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частину першу статті 7 після абзацу третього доповнити новим абзацом такого змісту: </w:t>
      </w:r>
    </w:p>
    <w:p w:rsidR="00240FA0" w:rsidRDefault="00240FA0" w:rsidP="00240FA0">
      <w:pPr>
        <w:spacing w:before="60"/>
        <w:ind w:firstLine="567"/>
        <w:jc w:val="both"/>
        <w:rPr>
          <w:rFonts w:ascii="Times New Roman" w:hAnsi="Times New Roman"/>
          <w:color w:val="000000"/>
          <w:sz w:val="28"/>
          <w:szCs w:val="28"/>
        </w:rPr>
      </w:pPr>
      <w:r>
        <w:rPr>
          <w:rFonts w:ascii="Times New Roman" w:hAnsi="Times New Roman"/>
          <w:color w:val="000000"/>
          <w:sz w:val="28"/>
          <w:szCs w:val="28"/>
        </w:rPr>
        <w:t>“із здійснення заходів із комплексної реконструкції кварталів (мікрорайонів);”.</w:t>
      </w:r>
    </w:p>
    <w:p w:rsidR="00240FA0" w:rsidRDefault="00240FA0" w:rsidP="00240FA0">
      <w:pPr>
        <w:spacing w:before="60"/>
        <w:ind w:firstLine="567"/>
        <w:jc w:val="both"/>
        <w:rPr>
          <w:rFonts w:ascii="Times New Roman" w:hAnsi="Times New Roman"/>
          <w:color w:val="000000"/>
          <w:sz w:val="28"/>
          <w:szCs w:val="28"/>
        </w:rPr>
      </w:pPr>
      <w:r>
        <w:rPr>
          <w:rFonts w:ascii="Times New Roman" w:hAnsi="Times New Roman"/>
          <w:color w:val="000000"/>
          <w:sz w:val="28"/>
          <w:szCs w:val="28"/>
        </w:rPr>
        <w:t>У зв’язку з цим абзаци четвертий — дев’ятий вважати відповідно абзацами п’ятим — десятим;</w:t>
      </w:r>
    </w:p>
    <w:p w:rsidR="00240FA0" w:rsidRDefault="00240FA0" w:rsidP="00240FA0">
      <w:pPr>
        <w:spacing w:before="60"/>
        <w:ind w:firstLine="567"/>
        <w:jc w:val="both"/>
        <w:rPr>
          <w:rFonts w:ascii="Times New Roman" w:hAnsi="Times New Roman"/>
          <w:color w:val="000000"/>
          <w:sz w:val="28"/>
          <w:szCs w:val="28"/>
        </w:rPr>
      </w:pPr>
      <w:r>
        <w:rPr>
          <w:rFonts w:ascii="Times New Roman" w:hAnsi="Times New Roman"/>
          <w:color w:val="000000"/>
          <w:sz w:val="28"/>
          <w:szCs w:val="28"/>
        </w:rPr>
        <w:t>частину першу статті 9 доповнити абзацом такого змісту:</w:t>
      </w:r>
    </w:p>
    <w:p w:rsidR="00240FA0" w:rsidRDefault="00240FA0" w:rsidP="00240FA0">
      <w:pPr>
        <w:spacing w:before="60"/>
        <w:ind w:firstLine="567"/>
        <w:jc w:val="both"/>
        <w:rPr>
          <w:rFonts w:ascii="Times New Roman" w:hAnsi="Times New Roman"/>
          <w:color w:val="000000"/>
          <w:sz w:val="28"/>
          <w:szCs w:val="28"/>
        </w:rPr>
      </w:pPr>
      <w:r>
        <w:rPr>
          <w:rFonts w:ascii="Times New Roman" w:hAnsi="Times New Roman"/>
          <w:color w:val="000000"/>
          <w:sz w:val="28"/>
          <w:szCs w:val="28"/>
        </w:rPr>
        <w:t>“здійснення комплексної реконструкції кварталів (мікрорайонів) застарілого житлового фонду.”;</w:t>
      </w:r>
    </w:p>
    <w:p w:rsidR="00240FA0" w:rsidRDefault="00240FA0" w:rsidP="00240FA0">
      <w:pPr>
        <w:spacing w:before="60"/>
        <w:ind w:firstLine="567"/>
        <w:jc w:val="both"/>
        <w:rPr>
          <w:rFonts w:ascii="Times New Roman" w:hAnsi="Times New Roman"/>
          <w:color w:val="000000"/>
          <w:sz w:val="28"/>
          <w:szCs w:val="28"/>
        </w:rPr>
      </w:pPr>
      <w:r>
        <w:rPr>
          <w:rFonts w:ascii="Times New Roman" w:hAnsi="Times New Roman"/>
          <w:color w:val="000000"/>
          <w:sz w:val="28"/>
          <w:szCs w:val="28"/>
        </w:rPr>
        <w:t>частину першу статті 15 після абзацу п’ятого доповнити новим абзацом такого змісту: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“об’єктів, пов’язаних із здійсненням реконструкції кварталів (мікрорайонів) застарілого житлового фонду;”.</w:t>
      </w:r>
    </w:p>
    <w:p w:rsidR="00240FA0" w:rsidRDefault="00240FA0" w:rsidP="00240FA0">
      <w:pPr>
        <w:spacing w:before="60"/>
        <w:ind w:firstLine="567"/>
        <w:jc w:val="both"/>
        <w:rPr>
          <w:rFonts w:ascii="Times New Roman" w:hAnsi="Times New Roman"/>
          <w:color w:val="000000"/>
          <w:sz w:val="28"/>
          <w:szCs w:val="28"/>
        </w:rPr>
      </w:pPr>
      <w:r>
        <w:rPr>
          <w:rFonts w:ascii="Times New Roman" w:hAnsi="Times New Roman"/>
          <w:color w:val="000000"/>
          <w:sz w:val="28"/>
          <w:szCs w:val="28"/>
        </w:rPr>
        <w:t>У зв’язку з цим абзаци шостий і сьомий вважати відповідно абзацами сьомим і восьмим.</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5. Рекомендувати органам місцевого самоврядування:</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передбачити видатки із місцевого бюджету на проведення інвентаризації житлового та нежитлового фондів усіх форм власності в межах відповідних адміністративно-територіальних одиниць;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протягом року з дня опублікування цього Закону провести інвентаризацію житлового та нежитлового фондів усіх форм власності в межах відповідних адміністративно-територіальних одиниць та надати центральному органу виконавчої влади, що забезпечує формування державної політики у сфері містобудування, будівництва та архітектури, інформацію про результати проведеної інвентаризації.</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6. Кабінету Міністрів України протягом двох років з дня опублікування цього Закону: </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забезпечити прийняття нормативно-правових актів, необхідних для реалізації положень цього Закону;</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привести власні нормативно-правові акти у відповідність із цим Законом;</w:t>
      </w:r>
    </w:p>
    <w:p w:rsidR="00240FA0" w:rsidRDefault="00240FA0" w:rsidP="00240FA0">
      <w:pPr>
        <w:spacing w:before="120"/>
        <w:ind w:firstLine="567"/>
        <w:jc w:val="both"/>
        <w:rPr>
          <w:rFonts w:ascii="Times New Roman" w:hAnsi="Times New Roman"/>
          <w:color w:val="000000"/>
          <w:sz w:val="28"/>
          <w:szCs w:val="28"/>
        </w:rPr>
      </w:pPr>
      <w:r>
        <w:rPr>
          <w:rFonts w:ascii="Times New Roman" w:hAnsi="Times New Roman"/>
          <w:color w:val="000000"/>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240FA0" w:rsidRDefault="00240FA0" w:rsidP="00240FA0">
      <w:pPr>
        <w:pStyle w:val="a3"/>
        <w:rPr>
          <w:rFonts w:ascii="Times New Roman" w:hAnsi="Times New Roman"/>
          <w:color w:val="000000"/>
          <w:sz w:val="28"/>
          <w:szCs w:val="28"/>
        </w:rPr>
      </w:pPr>
    </w:p>
    <w:p w:rsidR="00240FA0" w:rsidRPr="00682D64" w:rsidRDefault="00240FA0" w:rsidP="00240FA0">
      <w:pPr>
        <w:spacing w:before="480"/>
      </w:pPr>
      <w:r>
        <w:rPr>
          <w:rFonts w:ascii="Times New Roman" w:hAnsi="Times New Roman"/>
          <w:b/>
          <w:color w:val="000000"/>
          <w:sz w:val="28"/>
          <w:szCs w:val="28"/>
        </w:rPr>
        <w:t xml:space="preserve">              Голова </w:t>
      </w:r>
      <w:r>
        <w:rPr>
          <w:rFonts w:ascii="Times New Roman" w:hAnsi="Times New Roman"/>
          <w:b/>
          <w:color w:val="000000"/>
          <w:sz w:val="28"/>
          <w:szCs w:val="28"/>
        </w:rPr>
        <w:br/>
        <w:t>Верховної Ради України</w:t>
      </w:r>
    </w:p>
    <w:sectPr w:rsidR="00240FA0" w:rsidRPr="00682D6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C20" w:rsidRDefault="00530C20">
      <w:r>
        <w:separator/>
      </w:r>
    </w:p>
  </w:endnote>
  <w:endnote w:type="continuationSeparator" w:id="0">
    <w:p w:rsidR="00530C20" w:rsidRDefault="00530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Times New Roman"/>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C20" w:rsidRDefault="00530C20">
      <w:r>
        <w:separator/>
      </w:r>
    </w:p>
  </w:footnote>
  <w:footnote w:type="continuationSeparator" w:id="0">
    <w:p w:rsidR="00530C20" w:rsidRDefault="00530C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Pr="009536F0" w:rsidRDefault="00445A63">
    <w:pPr>
      <w:framePr w:wrap="around" w:vAnchor="text" w:hAnchor="margin" w:xAlign="center" w:y="1"/>
      <w:rPr>
        <w:rFonts w:ascii="Times New Roman" w:hAnsi="Times New Roman"/>
        <w:sz w:val="28"/>
        <w:szCs w:val="28"/>
      </w:rPr>
    </w:pPr>
    <w:r w:rsidRPr="009536F0">
      <w:rPr>
        <w:rFonts w:ascii="Times New Roman" w:hAnsi="Times New Roman"/>
        <w:sz w:val="28"/>
        <w:szCs w:val="28"/>
      </w:rPr>
      <w:fldChar w:fldCharType="begin"/>
    </w:r>
    <w:r w:rsidRPr="009536F0">
      <w:rPr>
        <w:rFonts w:ascii="Times New Roman" w:hAnsi="Times New Roman"/>
        <w:sz w:val="28"/>
        <w:szCs w:val="28"/>
      </w:rPr>
      <w:instrText xml:space="preserve">PAGE  </w:instrText>
    </w:r>
    <w:r w:rsidRPr="009536F0">
      <w:rPr>
        <w:rFonts w:ascii="Times New Roman" w:hAnsi="Times New Roman"/>
        <w:sz w:val="28"/>
        <w:szCs w:val="28"/>
      </w:rPr>
      <w:fldChar w:fldCharType="separate"/>
    </w:r>
    <w:r w:rsidR="00CD2D0B">
      <w:rPr>
        <w:rFonts w:ascii="Times New Roman" w:hAnsi="Times New Roman"/>
        <w:noProof/>
        <w:sz w:val="28"/>
        <w:szCs w:val="28"/>
      </w:rPr>
      <w:t>8</w:t>
    </w:r>
    <w:r w:rsidRPr="009536F0">
      <w:rPr>
        <w:rFonts w:ascii="Times New Roman" w:hAnsi="Times New Roman"/>
        <w:sz w:val="28"/>
        <w:szCs w:val="28"/>
      </w:rPr>
      <w:fldChar w:fldCharType="end"/>
    </w:r>
  </w:p>
  <w:p w:rsidR="00445A63" w:rsidRDefault="00445A63" w:rsidP="008013F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10EE1"/>
    <w:rsid w:val="00056B9B"/>
    <w:rsid w:val="0007097B"/>
    <w:rsid w:val="00094971"/>
    <w:rsid w:val="000C703E"/>
    <w:rsid w:val="001054BE"/>
    <w:rsid w:val="00142EC6"/>
    <w:rsid w:val="001F6BD6"/>
    <w:rsid w:val="002030DC"/>
    <w:rsid w:val="00206B97"/>
    <w:rsid w:val="002147F2"/>
    <w:rsid w:val="002223C5"/>
    <w:rsid w:val="00222A07"/>
    <w:rsid w:val="00240AA0"/>
    <w:rsid w:val="00240FA0"/>
    <w:rsid w:val="002729B5"/>
    <w:rsid w:val="002769D6"/>
    <w:rsid w:val="0028001F"/>
    <w:rsid w:val="002978FE"/>
    <w:rsid w:val="002B53D3"/>
    <w:rsid w:val="002D20A2"/>
    <w:rsid w:val="002D5098"/>
    <w:rsid w:val="002F1A96"/>
    <w:rsid w:val="003323DA"/>
    <w:rsid w:val="0039223B"/>
    <w:rsid w:val="00392A33"/>
    <w:rsid w:val="003D544E"/>
    <w:rsid w:val="00400C25"/>
    <w:rsid w:val="00403421"/>
    <w:rsid w:val="00445A63"/>
    <w:rsid w:val="00455CFC"/>
    <w:rsid w:val="00491DE3"/>
    <w:rsid w:val="004D5F44"/>
    <w:rsid w:val="00520E27"/>
    <w:rsid w:val="00530C20"/>
    <w:rsid w:val="005731CD"/>
    <w:rsid w:val="005A4BD1"/>
    <w:rsid w:val="005C3CB4"/>
    <w:rsid w:val="005F4706"/>
    <w:rsid w:val="00601C92"/>
    <w:rsid w:val="00635060"/>
    <w:rsid w:val="00667AD8"/>
    <w:rsid w:val="006A68B4"/>
    <w:rsid w:val="006C6D58"/>
    <w:rsid w:val="006D3901"/>
    <w:rsid w:val="006E055F"/>
    <w:rsid w:val="006E6074"/>
    <w:rsid w:val="00710487"/>
    <w:rsid w:val="007370F8"/>
    <w:rsid w:val="00746AD1"/>
    <w:rsid w:val="00757FFD"/>
    <w:rsid w:val="00764C95"/>
    <w:rsid w:val="00780723"/>
    <w:rsid w:val="007A3B53"/>
    <w:rsid w:val="007B0213"/>
    <w:rsid w:val="007B5FAB"/>
    <w:rsid w:val="007D1318"/>
    <w:rsid w:val="007E39D2"/>
    <w:rsid w:val="008013FA"/>
    <w:rsid w:val="008016F2"/>
    <w:rsid w:val="00837452"/>
    <w:rsid w:val="00876047"/>
    <w:rsid w:val="008A4613"/>
    <w:rsid w:val="008B1E56"/>
    <w:rsid w:val="008D506E"/>
    <w:rsid w:val="008E0FCE"/>
    <w:rsid w:val="00906AB0"/>
    <w:rsid w:val="009536F0"/>
    <w:rsid w:val="00962977"/>
    <w:rsid w:val="009D0F1F"/>
    <w:rsid w:val="00A1145A"/>
    <w:rsid w:val="00A33609"/>
    <w:rsid w:val="00A455BA"/>
    <w:rsid w:val="00A45E17"/>
    <w:rsid w:val="00A5528B"/>
    <w:rsid w:val="00A60FA5"/>
    <w:rsid w:val="00AD6988"/>
    <w:rsid w:val="00B23287"/>
    <w:rsid w:val="00B412C0"/>
    <w:rsid w:val="00B76F4B"/>
    <w:rsid w:val="00BA2615"/>
    <w:rsid w:val="00BB19A5"/>
    <w:rsid w:val="00BB56AD"/>
    <w:rsid w:val="00BC1D9C"/>
    <w:rsid w:val="00BF7237"/>
    <w:rsid w:val="00C04FE1"/>
    <w:rsid w:val="00C3481E"/>
    <w:rsid w:val="00C362EA"/>
    <w:rsid w:val="00C47E09"/>
    <w:rsid w:val="00C70493"/>
    <w:rsid w:val="00CA67B3"/>
    <w:rsid w:val="00CB44E4"/>
    <w:rsid w:val="00CB541E"/>
    <w:rsid w:val="00CD2D0B"/>
    <w:rsid w:val="00D0292C"/>
    <w:rsid w:val="00D25FDF"/>
    <w:rsid w:val="00D4191B"/>
    <w:rsid w:val="00E33212"/>
    <w:rsid w:val="00E336F3"/>
    <w:rsid w:val="00E474F1"/>
    <w:rsid w:val="00E6014C"/>
    <w:rsid w:val="00E70B94"/>
    <w:rsid w:val="00ED4B84"/>
    <w:rsid w:val="00EE1A5E"/>
    <w:rsid w:val="00EE518C"/>
    <w:rsid w:val="00F37B32"/>
    <w:rsid w:val="00F44363"/>
    <w:rsid w:val="00F537EE"/>
    <w:rsid w:val="00F77D6A"/>
    <w:rsid w:val="00FA0F9E"/>
    <w:rsid w:val="00FF3308"/>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No Spacing"/>
    <w:uiPriority w:val="1"/>
    <w:qFormat/>
    <w:rsid w:val="009536F0"/>
    <w:rPr>
      <w:rFonts w:ascii="Calibri" w:eastAsia="Calibri" w:hAnsi="Calibri"/>
      <w:sz w:val="22"/>
      <w:szCs w:val="22"/>
      <w:lang w:eastAsia="en-US"/>
    </w:rPr>
  </w:style>
  <w:style w:type="character" w:customStyle="1" w:styleId="rvts0">
    <w:name w:val="rvts0"/>
    <w:rsid w:val="009536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No Spacing"/>
    <w:uiPriority w:val="1"/>
    <w:qFormat/>
    <w:rsid w:val="009536F0"/>
    <w:rPr>
      <w:rFonts w:ascii="Calibri" w:eastAsia="Calibri" w:hAnsi="Calibri"/>
      <w:sz w:val="22"/>
      <w:szCs w:val="22"/>
      <w:lang w:eastAsia="en-US"/>
    </w:rPr>
  </w:style>
  <w:style w:type="character" w:customStyle="1" w:styleId="rvts0">
    <w:name w:val="rvts0"/>
    <w:rsid w:val="00953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17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43520</Words>
  <Characters>24807</Characters>
  <Application>Microsoft Office Word</Application>
  <DocSecurity>0</DocSecurity>
  <Lines>206</Lines>
  <Paragraphs>136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68191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2021-12-20T15:21:00Z</dcterms:created>
  <dcterms:modified xsi:type="dcterms:W3CDTF">2021-12-20T15:21:00Z</dcterms:modified>
</cp:coreProperties>
</file>