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D5A" w:rsidRPr="00B34B68" w:rsidRDefault="009E5D5A" w:rsidP="00337D1B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34B68">
        <w:rPr>
          <w:rFonts w:ascii="Times New Roman" w:hAnsi="Times New Roman" w:cs="Times New Roman"/>
          <w:b/>
          <w:sz w:val="28"/>
          <w:szCs w:val="28"/>
        </w:rPr>
        <w:t xml:space="preserve">ПОРІВНЯЛЬНА ТАБЛИЦЯ </w:t>
      </w:r>
    </w:p>
    <w:p w:rsidR="0000293A" w:rsidRDefault="00A34ECF" w:rsidP="0000293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34B68">
        <w:rPr>
          <w:rFonts w:ascii="Times New Roman" w:hAnsi="Times New Roman" w:cs="Times New Roman"/>
          <w:b/>
          <w:sz w:val="28"/>
          <w:szCs w:val="28"/>
        </w:rPr>
        <w:t xml:space="preserve">до проекту </w:t>
      </w:r>
      <w:r w:rsidR="009E5D5A" w:rsidRPr="00B34B68">
        <w:rPr>
          <w:rFonts w:ascii="Times New Roman" w:hAnsi="Times New Roman" w:cs="Times New Roman"/>
          <w:b/>
          <w:sz w:val="28"/>
          <w:szCs w:val="28"/>
        </w:rPr>
        <w:t>З</w:t>
      </w:r>
      <w:r w:rsidRPr="00B34B68">
        <w:rPr>
          <w:rFonts w:ascii="Times New Roman" w:hAnsi="Times New Roman" w:cs="Times New Roman"/>
          <w:b/>
          <w:sz w:val="28"/>
          <w:szCs w:val="28"/>
        </w:rPr>
        <w:t xml:space="preserve">акону </w:t>
      </w:r>
      <w:r w:rsidR="009E5D5A" w:rsidRPr="00B34B68">
        <w:rPr>
          <w:rFonts w:ascii="Times New Roman" w:hAnsi="Times New Roman" w:cs="Times New Roman"/>
          <w:b/>
          <w:sz w:val="28"/>
          <w:szCs w:val="28"/>
        </w:rPr>
        <w:t>України "</w:t>
      </w:r>
      <w:r w:rsidR="0000293A" w:rsidRPr="001179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 внесення змін до Податкового кодексу України </w:t>
      </w:r>
    </w:p>
    <w:p w:rsidR="001E7232" w:rsidRPr="00B34B68" w:rsidRDefault="0000293A" w:rsidP="0000293A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6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щодо оподаткування коштів </w:t>
      </w:r>
      <w:r w:rsidRPr="004F46FB">
        <w:rPr>
          <w:rFonts w:ascii="Times New Roman" w:hAnsi="Times New Roman" w:cs="Times New Roman"/>
          <w:b/>
          <w:sz w:val="28"/>
          <w:szCs w:val="28"/>
        </w:rPr>
        <w:t>Фонду розвитку та підтримки дитинства</w:t>
      </w:r>
      <w:r w:rsidR="009E442F" w:rsidRPr="00B34B68">
        <w:rPr>
          <w:rFonts w:ascii="Times New Roman" w:hAnsi="Times New Roman" w:cs="Times New Roman"/>
          <w:b/>
          <w:sz w:val="28"/>
          <w:szCs w:val="28"/>
        </w:rPr>
        <w:t>"</w:t>
      </w:r>
    </w:p>
    <w:p w:rsidR="00B6105B" w:rsidRPr="00B34B68" w:rsidRDefault="00B6105B" w:rsidP="0047606C">
      <w:pPr>
        <w:widowControl w:val="0"/>
        <w:suppressAutoHyphens/>
        <w:spacing w:before="8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D5A" w:rsidRPr="00B34B68" w:rsidRDefault="009E5D5A" w:rsidP="0047606C">
      <w:pPr>
        <w:widowControl w:val="0"/>
        <w:suppressAutoHyphens/>
        <w:spacing w:before="80" w:after="0" w:line="240" w:lineRule="auto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00"/>
        <w:gridCol w:w="7301"/>
      </w:tblGrid>
      <w:tr w:rsidR="00B34B68" w:rsidRPr="00932A5F" w:rsidTr="00B34B68">
        <w:trPr>
          <w:trHeight w:val="277"/>
        </w:trPr>
        <w:tc>
          <w:tcPr>
            <w:tcW w:w="7300" w:type="dxa"/>
            <w:tcBorders>
              <w:top w:val="single" w:sz="4" w:space="0" w:color="auto"/>
              <w:bottom w:val="single" w:sz="4" w:space="0" w:color="auto"/>
            </w:tcBorders>
          </w:tcPr>
          <w:p w:rsidR="00932A5F" w:rsidRDefault="00932A5F" w:rsidP="00932A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C3D99" w:rsidRDefault="00932A5F" w:rsidP="00932A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32A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Зміст положення чинного законодавства</w:t>
            </w:r>
          </w:p>
          <w:p w:rsidR="00932A5F" w:rsidRPr="00932A5F" w:rsidRDefault="00932A5F" w:rsidP="002F31C8">
            <w:pPr>
              <w:widowControl w:val="0"/>
              <w:suppressAutoHyphens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01" w:type="dxa"/>
            <w:tcBorders>
              <w:top w:val="single" w:sz="4" w:space="0" w:color="auto"/>
              <w:bottom w:val="single" w:sz="4" w:space="0" w:color="auto"/>
            </w:tcBorders>
          </w:tcPr>
          <w:p w:rsidR="00932A5F" w:rsidRDefault="00932A5F" w:rsidP="00932A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C3D99" w:rsidRPr="00932A5F" w:rsidRDefault="00932A5F" w:rsidP="00932A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2A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Зміст відповідного положення проекту акта</w:t>
            </w:r>
          </w:p>
        </w:tc>
      </w:tr>
      <w:tr w:rsidR="00B34B68" w:rsidRPr="00B34B68" w:rsidTr="00B34B68">
        <w:trPr>
          <w:trHeight w:val="277"/>
        </w:trPr>
        <w:tc>
          <w:tcPr>
            <w:tcW w:w="14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2A5F" w:rsidRDefault="00932A5F" w:rsidP="00932A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5D5A" w:rsidRPr="00B34B68" w:rsidRDefault="0000293A" w:rsidP="00932A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Податковий</w:t>
            </w:r>
            <w:r w:rsidR="00A372E0" w:rsidRPr="00B34B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кодекс України</w:t>
            </w:r>
          </w:p>
          <w:p w:rsidR="00A372E0" w:rsidRPr="00B34B68" w:rsidRDefault="00A372E0" w:rsidP="002F31C8">
            <w:pPr>
              <w:widowControl w:val="0"/>
              <w:suppressAutoHyphens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0293A" w:rsidRPr="00B34B68" w:rsidTr="00B34B68">
        <w:trPr>
          <w:trHeight w:val="562"/>
        </w:trPr>
        <w:tc>
          <w:tcPr>
            <w:tcW w:w="7300" w:type="dxa"/>
            <w:tcBorders>
              <w:top w:val="single" w:sz="4" w:space="0" w:color="auto"/>
              <w:bottom w:val="single" w:sz="4" w:space="0" w:color="auto"/>
            </w:tcBorders>
          </w:tcPr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Стаття 133. Платники податку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…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133.4. Не є платниками податку неприбуткові підприємства, установи та організації у порядку та на умовах, встановлених цим пунктом.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…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133.4.2. Доходи (прибутки) неприбуткової організації використовуються виключно для фінансування видатків на утримання такої неприбуткової організації, реалізації мети (цілей, завдань) та напрямів діяльності, визначених її установчими документами.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</w:p>
          <w:p w:rsid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</w:p>
          <w:p w:rsidR="00603185" w:rsidRPr="0000293A" w:rsidRDefault="00603185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 xml:space="preserve">Доходи неприбуткових релігійних організацій використовуються також для здійснення неприбуткової (добродійної) діяльності, передбаченої законом для </w:t>
            </w: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lastRenderedPageBreak/>
              <w:t>релігійних організацій, у тому числі надання гуманітарної допомоги, здійснення благодійної діяльності, милосердя.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…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133.4.6. До неприбуткових організацій, що відповідають вимогам цього пункту і не є платниками податку, зокрема, можуть бути віднесені: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бюджетні установи;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громадські об'єднання, політичні партії, творчі спілки, релігійні організації, благодійні організації, пенсійні фонди;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спілки, асоціації та інші об'єднання юридичних осіб;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житлово-будівельні кооперативи (з першого числа місяця, наступного за місяцем, в якому відповідно до закону здійснено прийняття в експлуатацію закінченого будівництвом житлового будинку і такий житловий будинок споруджувався або придбавався житлово-будівельним (житловим) кооперативом), дачні (дачно-будівельні), садівничі та гаражні (гаражно-будівельні) кооперативи (товариства);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об'єднання співвласників багатоквартирного будинку, асоціації власників жилих будинків;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професійні спілки, їх об'єднання та організації профспілок, а також організації роботодавців та їх об'єднання;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сільськогосподарські обслуговуючі кооперативи, кооперативні об'єднання сільськогосподарських обслуговуючих кооперативів;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</w:p>
          <w:p w:rsidR="0000293A" w:rsidRPr="0000293A" w:rsidRDefault="0000293A" w:rsidP="0000293A">
            <w:pPr>
              <w:spacing w:after="0" w:line="240" w:lineRule="auto"/>
              <w:ind w:firstLine="567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lastRenderedPageBreak/>
              <w:t>інші юридичні особи, діяльність яких відповідає вимогам цього пункту.</w:t>
            </w:r>
          </w:p>
        </w:tc>
        <w:tc>
          <w:tcPr>
            <w:tcW w:w="7301" w:type="dxa"/>
          </w:tcPr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lastRenderedPageBreak/>
              <w:t>Стаття 133. Платники податку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…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133.4. Не є платниками податку неприбуткові підприємства, установи та організації у порядку та на умовах, встановлених цим пунктом.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…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133.4.2. Доходи (прибутки) неприбуткової організації використовуються виключно для фінансування видатків на утримання такої неприбуткової організації, реалізації мети (цілей, завдань) та напрямів діяльності, визначених її установчими документами.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Доходи (прибутки) Фонду </w:t>
            </w:r>
            <w:r w:rsidRPr="004F46FB">
              <w:rPr>
                <w:rFonts w:ascii="Times New Roman" w:hAnsi="Times New Roman" w:cs="Times New Roman"/>
                <w:b/>
                <w:sz w:val="28"/>
                <w:szCs w:val="28"/>
              </w:rPr>
              <w:t>розвитку та підтримки дитинства</w:t>
            </w:r>
            <w:r w:rsidRPr="0000293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також використовуються на цілі, визначені Законом України "Про економічний паспорт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00293A">
              <w:rPr>
                <w:rFonts w:ascii="Times New Roman" w:hAnsi="Times New Roman"/>
                <w:b/>
                <w:sz w:val="28"/>
                <w:szCs w:val="28"/>
              </w:rPr>
              <w:t>юного українця</w:t>
            </w:r>
            <w:r w:rsidRPr="0000293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".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 xml:space="preserve">Доходи неприбуткових релігійних організацій використовуються також для здійснення неприбуткової (добродійної) діяльності, передбаченої законом для </w:t>
            </w: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lastRenderedPageBreak/>
              <w:t>релігійних організацій, у тому числі надання гуманітарної допомоги, здійснення благодійної діяльності, милосердя.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…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133.4.6. До неприбуткових організацій, що відповідають вимогам цього пункту і не є платниками податку, зокрема, можуть бути віднесені: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бюджетні установи;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громадські об'єднання, політичні партії, творчі спілки, релігійні організації, благодійні організації, пенсійні фонди;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спілки, асоціації та інші об'єднання юридичних осіб;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житлово-будівельні кооперативи (з першого числа місяця, наступного за місяцем, в якому відповідно до закону здійснено прийняття в експлуатацію закінченого будівництвом житлового будинку і такий житловий будинок споруджувався або придбавався житлово-будівельним (житловим) кооперативом), дачні (дачно-будівельні), садівничі та гаражні (гаражно-будівельні) кооперативи (товариства);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об'єднання співвласників багатоквартирного будинку, асоціації власників жилих будинків;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професійні спілки, їх об'єднання та організації профспілок, а також організації роботодавців та їх об'єднання;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сільськогосподарські обслуговуючі кооперативи, кооперативні об'єднання сільськогосподарських обслуговуючих кооперативів;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Фонд </w:t>
            </w:r>
            <w:r w:rsidRPr="004F46FB">
              <w:rPr>
                <w:rFonts w:ascii="Times New Roman" w:hAnsi="Times New Roman" w:cs="Times New Roman"/>
                <w:b/>
                <w:sz w:val="28"/>
                <w:szCs w:val="28"/>
              </w:rPr>
              <w:t>розвитку та підтримки дитинства</w:t>
            </w:r>
            <w:r w:rsidRPr="0000293A"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  <w:t>;</w:t>
            </w:r>
          </w:p>
          <w:p w:rsid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lastRenderedPageBreak/>
              <w:t>інші юридичні особи, діяльність яких відповідає вимогам цього пункту.</w:t>
            </w:r>
          </w:p>
          <w:p w:rsidR="00B37D2A" w:rsidRPr="0000293A" w:rsidRDefault="00B37D2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</w:pPr>
          </w:p>
        </w:tc>
      </w:tr>
      <w:tr w:rsidR="0000293A" w:rsidRPr="00B34B68" w:rsidTr="00B34B68">
        <w:trPr>
          <w:trHeight w:val="562"/>
        </w:trPr>
        <w:tc>
          <w:tcPr>
            <w:tcW w:w="7300" w:type="dxa"/>
            <w:tcBorders>
              <w:top w:val="single" w:sz="4" w:space="0" w:color="auto"/>
              <w:bottom w:val="single" w:sz="4" w:space="0" w:color="auto"/>
            </w:tcBorders>
          </w:tcPr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  <w:lastRenderedPageBreak/>
              <w:t xml:space="preserve">Стаття 165. Доходи, які не включаються до розрахунку загального місячного (річного) оподатковуваного доходу 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  <w:t>165.1. До загального місячного (річного) оподатковуваного доходу платника податку не включаються такі доходи: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  <w:t>….</w:t>
            </w:r>
          </w:p>
          <w:p w:rsidR="0000293A" w:rsidRPr="0000293A" w:rsidRDefault="00603185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pacing w:val="-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pacing w:val="-8"/>
                <w:sz w:val="28"/>
                <w:szCs w:val="28"/>
              </w:rPr>
              <w:t>Підп</w:t>
            </w:r>
            <w:r w:rsidR="0000293A">
              <w:rPr>
                <w:rFonts w:ascii="Times New Roman" w:hAnsi="Times New Roman" w:cs="Times New Roman"/>
                <w:b/>
                <w:bCs/>
                <w:spacing w:val="-8"/>
                <w:sz w:val="28"/>
                <w:szCs w:val="28"/>
              </w:rPr>
              <w:t xml:space="preserve">ункт </w:t>
            </w:r>
            <w:r w:rsidR="0000293A" w:rsidRPr="0000293A">
              <w:rPr>
                <w:rFonts w:ascii="Times New Roman" w:hAnsi="Times New Roman" w:cs="Times New Roman"/>
                <w:b/>
                <w:bCs/>
                <w:spacing w:val="-8"/>
                <w:sz w:val="28"/>
                <w:szCs w:val="28"/>
              </w:rPr>
              <w:t>відсутній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</w:pP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</w:pPr>
          </w:p>
          <w:p w:rsidR="0000293A" w:rsidRPr="0000293A" w:rsidRDefault="00603185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pacing w:val="-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pacing w:val="-8"/>
                <w:sz w:val="28"/>
                <w:szCs w:val="28"/>
              </w:rPr>
              <w:t xml:space="preserve">Підпункт </w:t>
            </w:r>
            <w:r w:rsidR="0000293A" w:rsidRPr="0000293A">
              <w:rPr>
                <w:rFonts w:ascii="Times New Roman" w:hAnsi="Times New Roman" w:cs="Times New Roman"/>
                <w:b/>
                <w:bCs/>
                <w:spacing w:val="-8"/>
                <w:sz w:val="28"/>
                <w:szCs w:val="28"/>
              </w:rPr>
              <w:t>відсутній</w:t>
            </w:r>
          </w:p>
        </w:tc>
        <w:tc>
          <w:tcPr>
            <w:tcW w:w="7301" w:type="dxa"/>
            <w:tcBorders>
              <w:top w:val="single" w:sz="4" w:space="0" w:color="auto"/>
              <w:bottom w:val="single" w:sz="4" w:space="0" w:color="auto"/>
            </w:tcBorders>
          </w:tcPr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  <w:t xml:space="preserve">Стаття 165. Доходи, які не включаються до розрахунку загального місячного (річного) оподатковуваного доходу 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  <w:t>165.1. До загального місячного (річного) оподатковуваного доходу платника податку не включаються такі доходи: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  <w:t>…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165.1.63. кошти, які залучає Фонд </w:t>
            </w:r>
            <w:r w:rsidRPr="004F46FB">
              <w:rPr>
                <w:rFonts w:ascii="Times New Roman" w:hAnsi="Times New Roman" w:cs="Times New Roman"/>
                <w:b/>
                <w:sz w:val="28"/>
                <w:szCs w:val="28"/>
              </w:rPr>
              <w:t>розвитку та підтримки дитинства</w:t>
            </w:r>
            <w:r w:rsidRPr="0000293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на користь учасників Фонду відповідно до Закону України "Про економічний паспорт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00293A">
              <w:rPr>
                <w:rFonts w:ascii="Times New Roman" w:hAnsi="Times New Roman"/>
                <w:b/>
                <w:sz w:val="28"/>
                <w:szCs w:val="28"/>
              </w:rPr>
              <w:t>юного українця</w:t>
            </w:r>
            <w:r w:rsidRPr="0000293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"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;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pacing w:val="-8"/>
                <w:sz w:val="28"/>
                <w:szCs w:val="28"/>
              </w:rPr>
            </w:pPr>
            <w:r w:rsidRPr="0000293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165.1.64. сума доходу, одержаного платником податків з Фонду </w:t>
            </w:r>
            <w:r w:rsidRPr="004F46FB">
              <w:rPr>
                <w:rFonts w:ascii="Times New Roman" w:hAnsi="Times New Roman" w:cs="Times New Roman"/>
                <w:b/>
                <w:sz w:val="28"/>
                <w:szCs w:val="28"/>
              </w:rPr>
              <w:t>розвитку та підтримки дитинства</w:t>
            </w:r>
            <w:r w:rsidRPr="0000293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.</w:t>
            </w:r>
          </w:p>
          <w:p w:rsidR="0000293A" w:rsidRPr="0000293A" w:rsidRDefault="0000293A" w:rsidP="0000293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pacing w:val="-8"/>
                <w:sz w:val="28"/>
                <w:szCs w:val="28"/>
              </w:rPr>
            </w:pPr>
          </w:p>
        </w:tc>
      </w:tr>
    </w:tbl>
    <w:p w:rsidR="002C04D5" w:rsidRPr="00B34B68" w:rsidRDefault="002C04D5" w:rsidP="002C04D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 w:bidi="uk-UA"/>
        </w:rPr>
      </w:pPr>
    </w:p>
    <w:p w:rsidR="002C04D5" w:rsidRPr="00B34B68" w:rsidRDefault="002C04D5" w:rsidP="002C04D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 w:bidi="uk-UA"/>
        </w:rPr>
      </w:pPr>
    </w:p>
    <w:p w:rsidR="00B34B68" w:rsidRPr="00B34B68" w:rsidRDefault="00B34B68" w:rsidP="002C04D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ru-RU" w:bidi="uk-UA"/>
        </w:rPr>
      </w:pPr>
    </w:p>
    <w:p w:rsidR="00B34B68" w:rsidRPr="00B34B68" w:rsidRDefault="00B34B68" w:rsidP="00B34B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4B68">
        <w:rPr>
          <w:rFonts w:ascii="Times New Roman" w:hAnsi="Times New Roman" w:cs="Times New Roman"/>
          <w:b/>
          <w:bCs/>
          <w:sz w:val="28"/>
          <w:szCs w:val="28"/>
        </w:rPr>
        <w:t>Народний депутат України                                                       Королевська Н.Ю.</w:t>
      </w:r>
    </w:p>
    <w:sectPr w:rsidR="00B34B68" w:rsidRPr="00B34B68" w:rsidSect="00B34B68">
      <w:headerReference w:type="default" r:id="rId9"/>
      <w:footerReference w:type="default" r:id="rId10"/>
      <w:pgSz w:w="16838" w:h="11906" w:orient="landscape"/>
      <w:pgMar w:top="1134" w:right="1134" w:bottom="1134" w:left="1134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479" w:rsidRDefault="00DB5479">
      <w:pPr>
        <w:spacing w:after="0" w:line="240" w:lineRule="auto"/>
      </w:pPr>
      <w:r>
        <w:separator/>
      </w:r>
    </w:p>
  </w:endnote>
  <w:endnote w:type="continuationSeparator" w:id="0">
    <w:p w:rsidR="00DB5479" w:rsidRDefault="00DB5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25" w:rsidRDefault="0040202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right"/>
      <w:rPr>
        <w:color w:val="000000"/>
      </w:rPr>
    </w:pPr>
  </w:p>
  <w:p w:rsidR="00402025" w:rsidRDefault="0040202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479" w:rsidRDefault="00DB5479">
      <w:pPr>
        <w:spacing w:after="0" w:line="240" w:lineRule="auto"/>
      </w:pPr>
      <w:r>
        <w:separator/>
      </w:r>
    </w:p>
  </w:footnote>
  <w:footnote w:type="continuationSeparator" w:id="0">
    <w:p w:rsidR="00DB5479" w:rsidRDefault="00DB5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1804232447"/>
      <w:docPartObj>
        <w:docPartGallery w:val="Page Numbers (Top of Page)"/>
        <w:docPartUnique/>
      </w:docPartObj>
    </w:sdtPr>
    <w:sdtEndPr/>
    <w:sdtContent>
      <w:p w:rsidR="00402025" w:rsidRPr="003C56A3" w:rsidRDefault="00402025" w:rsidP="003C56A3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34B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34B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34B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858D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34B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02025" w:rsidRPr="003C56A3" w:rsidRDefault="00402025" w:rsidP="003C56A3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232"/>
    <w:rsid w:val="00001117"/>
    <w:rsid w:val="0000293A"/>
    <w:rsid w:val="00006473"/>
    <w:rsid w:val="00052BD6"/>
    <w:rsid w:val="0009209E"/>
    <w:rsid w:val="000A44B2"/>
    <w:rsid w:val="000C3D8B"/>
    <w:rsid w:val="000E436A"/>
    <w:rsid w:val="000E6AC1"/>
    <w:rsid w:val="000F59DF"/>
    <w:rsid w:val="001040B6"/>
    <w:rsid w:val="00111EFA"/>
    <w:rsid w:val="00127A6C"/>
    <w:rsid w:val="00144849"/>
    <w:rsid w:val="001C4C0C"/>
    <w:rsid w:val="001C6826"/>
    <w:rsid w:val="001E337A"/>
    <w:rsid w:val="001E7232"/>
    <w:rsid w:val="001E7AA1"/>
    <w:rsid w:val="001F21FA"/>
    <w:rsid w:val="00202C4E"/>
    <w:rsid w:val="002103BA"/>
    <w:rsid w:val="0021651E"/>
    <w:rsid w:val="00227587"/>
    <w:rsid w:val="00232F09"/>
    <w:rsid w:val="002459C2"/>
    <w:rsid w:val="00255C24"/>
    <w:rsid w:val="002607C5"/>
    <w:rsid w:val="002746B6"/>
    <w:rsid w:val="002C04D5"/>
    <w:rsid w:val="002F31C8"/>
    <w:rsid w:val="002F63AA"/>
    <w:rsid w:val="00314FF1"/>
    <w:rsid w:val="00325624"/>
    <w:rsid w:val="00337D1B"/>
    <w:rsid w:val="00340481"/>
    <w:rsid w:val="0034119F"/>
    <w:rsid w:val="00344727"/>
    <w:rsid w:val="003814E1"/>
    <w:rsid w:val="003870FC"/>
    <w:rsid w:val="003C56A3"/>
    <w:rsid w:val="003D237C"/>
    <w:rsid w:val="003E049B"/>
    <w:rsid w:val="003E0585"/>
    <w:rsid w:val="003F141D"/>
    <w:rsid w:val="00402025"/>
    <w:rsid w:val="004035A8"/>
    <w:rsid w:val="00433674"/>
    <w:rsid w:val="00451D9B"/>
    <w:rsid w:val="00455612"/>
    <w:rsid w:val="0047606C"/>
    <w:rsid w:val="004826EB"/>
    <w:rsid w:val="004A7844"/>
    <w:rsid w:val="004C5FE9"/>
    <w:rsid w:val="004D1D1B"/>
    <w:rsid w:val="004E1142"/>
    <w:rsid w:val="004E6D40"/>
    <w:rsid w:val="004F5E4A"/>
    <w:rsid w:val="005055EA"/>
    <w:rsid w:val="00507AA9"/>
    <w:rsid w:val="0054099B"/>
    <w:rsid w:val="0055674C"/>
    <w:rsid w:val="00557815"/>
    <w:rsid w:val="00572489"/>
    <w:rsid w:val="0058270F"/>
    <w:rsid w:val="005F0A68"/>
    <w:rsid w:val="00603185"/>
    <w:rsid w:val="0066087A"/>
    <w:rsid w:val="00665194"/>
    <w:rsid w:val="0067715A"/>
    <w:rsid w:val="00683124"/>
    <w:rsid w:val="006858D2"/>
    <w:rsid w:val="006B1109"/>
    <w:rsid w:val="006C6492"/>
    <w:rsid w:val="006D5442"/>
    <w:rsid w:val="006D688C"/>
    <w:rsid w:val="006D6AA2"/>
    <w:rsid w:val="006F3558"/>
    <w:rsid w:val="007203BD"/>
    <w:rsid w:val="00746CB2"/>
    <w:rsid w:val="007740E7"/>
    <w:rsid w:val="007810A4"/>
    <w:rsid w:val="0078203D"/>
    <w:rsid w:val="00796A47"/>
    <w:rsid w:val="007F3308"/>
    <w:rsid w:val="00815EA9"/>
    <w:rsid w:val="0082372B"/>
    <w:rsid w:val="00833622"/>
    <w:rsid w:val="008453B3"/>
    <w:rsid w:val="00894BAD"/>
    <w:rsid w:val="008C26F1"/>
    <w:rsid w:val="008C7EEA"/>
    <w:rsid w:val="008E7158"/>
    <w:rsid w:val="008F3982"/>
    <w:rsid w:val="008F431C"/>
    <w:rsid w:val="00922947"/>
    <w:rsid w:val="00932A5F"/>
    <w:rsid w:val="00936EFB"/>
    <w:rsid w:val="00942D99"/>
    <w:rsid w:val="009458A6"/>
    <w:rsid w:val="009460DE"/>
    <w:rsid w:val="00952B9D"/>
    <w:rsid w:val="00977E5F"/>
    <w:rsid w:val="0098220D"/>
    <w:rsid w:val="00984498"/>
    <w:rsid w:val="009D5C82"/>
    <w:rsid w:val="009E2A3B"/>
    <w:rsid w:val="009E442F"/>
    <w:rsid w:val="009E5D5A"/>
    <w:rsid w:val="00A03AFE"/>
    <w:rsid w:val="00A04DD6"/>
    <w:rsid w:val="00A05932"/>
    <w:rsid w:val="00A34ECF"/>
    <w:rsid w:val="00A372E0"/>
    <w:rsid w:val="00A61ECB"/>
    <w:rsid w:val="00A80D59"/>
    <w:rsid w:val="00A82D7D"/>
    <w:rsid w:val="00A83243"/>
    <w:rsid w:val="00A975C6"/>
    <w:rsid w:val="00AD6E56"/>
    <w:rsid w:val="00AD77C0"/>
    <w:rsid w:val="00AF310D"/>
    <w:rsid w:val="00AF59EB"/>
    <w:rsid w:val="00B12335"/>
    <w:rsid w:val="00B250D7"/>
    <w:rsid w:val="00B34B68"/>
    <w:rsid w:val="00B37D2A"/>
    <w:rsid w:val="00B448E0"/>
    <w:rsid w:val="00B605E4"/>
    <w:rsid w:val="00B6105B"/>
    <w:rsid w:val="00BC445E"/>
    <w:rsid w:val="00C11A89"/>
    <w:rsid w:val="00C22927"/>
    <w:rsid w:val="00C26EAB"/>
    <w:rsid w:val="00C63289"/>
    <w:rsid w:val="00C92704"/>
    <w:rsid w:val="00C9364E"/>
    <w:rsid w:val="00CB20D5"/>
    <w:rsid w:val="00CD3CA8"/>
    <w:rsid w:val="00CE6962"/>
    <w:rsid w:val="00CF6CA2"/>
    <w:rsid w:val="00D07B16"/>
    <w:rsid w:val="00D267D9"/>
    <w:rsid w:val="00D401B0"/>
    <w:rsid w:val="00D46075"/>
    <w:rsid w:val="00D570E7"/>
    <w:rsid w:val="00D57126"/>
    <w:rsid w:val="00D71CEA"/>
    <w:rsid w:val="00D84EAB"/>
    <w:rsid w:val="00DA1EFA"/>
    <w:rsid w:val="00DB5479"/>
    <w:rsid w:val="00DC08CC"/>
    <w:rsid w:val="00DD14A6"/>
    <w:rsid w:val="00DE0901"/>
    <w:rsid w:val="00E13B43"/>
    <w:rsid w:val="00E53F50"/>
    <w:rsid w:val="00E646E4"/>
    <w:rsid w:val="00E765D7"/>
    <w:rsid w:val="00EA2BB1"/>
    <w:rsid w:val="00EB619E"/>
    <w:rsid w:val="00EC3D99"/>
    <w:rsid w:val="00EC53DD"/>
    <w:rsid w:val="00ED4697"/>
    <w:rsid w:val="00F02FA5"/>
    <w:rsid w:val="00F22D8F"/>
    <w:rsid w:val="00F27D5E"/>
    <w:rsid w:val="00F77E15"/>
    <w:rsid w:val="00F804BE"/>
    <w:rsid w:val="00FA4938"/>
    <w:rsid w:val="00FB731A"/>
    <w:rsid w:val="00FC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E5D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E5D5A"/>
  </w:style>
  <w:style w:type="paragraph" w:styleId="a8">
    <w:name w:val="footer"/>
    <w:basedOn w:val="a"/>
    <w:link w:val="a9"/>
    <w:uiPriority w:val="99"/>
    <w:unhideWhenUsed/>
    <w:rsid w:val="009E5D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E5D5A"/>
  </w:style>
  <w:style w:type="paragraph" w:styleId="aa">
    <w:name w:val="Balloon Text"/>
    <w:basedOn w:val="a"/>
    <w:link w:val="ab"/>
    <w:uiPriority w:val="99"/>
    <w:semiHidden/>
    <w:unhideWhenUsed/>
    <w:rsid w:val="001F21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F21FA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815EA9"/>
    <w:pPr>
      <w:ind w:left="720"/>
      <w:contextualSpacing/>
    </w:pPr>
  </w:style>
  <w:style w:type="table" w:styleId="30">
    <w:name w:val="Light List Accent 3"/>
    <w:basedOn w:val="a1"/>
    <w:uiPriority w:val="61"/>
    <w:rsid w:val="00F27D5E"/>
    <w:pPr>
      <w:spacing w:after="0" w:line="240" w:lineRule="auto"/>
    </w:pPr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2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AAF1CE-323E-4E9C-841D-5943F319FE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C64490-B479-4383-A280-D140E4270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95F408-4375-42E5-8EF9-13F3A3B3A79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3098</Words>
  <Characters>1767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2021-12-22T13:24:00Z</dcterms:created>
  <dcterms:modified xsi:type="dcterms:W3CDTF">2021-12-22T13:24:00Z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