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152A8" w:rsidRDefault="001F30CB">
      <w:pPr>
        <w:pBdr>
          <w:top w:val="none" w:sz="0" w:space="0" w:color="000000"/>
          <w:left w:val="none" w:sz="0" w:space="0" w:color="000000"/>
          <w:bottom w:val="none" w:sz="0" w:space="0" w:color="000000"/>
          <w:right w:val="none" w:sz="0" w:space="0" w:color="000000"/>
        </w:pBdr>
        <w:spacing w:after="0" w:line="276" w:lineRule="auto"/>
        <w:ind w:left="5940" w:right="540"/>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Проект</w:t>
      </w:r>
    </w:p>
    <w:p w14:paraId="00000002" w14:textId="77777777" w:rsidR="00A152A8" w:rsidRDefault="001F30CB">
      <w:pPr>
        <w:pBdr>
          <w:top w:val="none" w:sz="0" w:space="0" w:color="000000"/>
          <w:left w:val="none" w:sz="0" w:space="0" w:color="000000"/>
          <w:bottom w:val="none" w:sz="0" w:space="0" w:color="000000"/>
          <w:right w:val="none" w:sz="0" w:space="0" w:color="000000"/>
        </w:pBdr>
        <w:spacing w:after="0" w:line="276" w:lineRule="auto"/>
        <w:ind w:left="59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вноситься народними</w:t>
      </w:r>
    </w:p>
    <w:p w14:paraId="00000003" w14:textId="77777777" w:rsidR="00A152A8" w:rsidRDefault="001F30CB">
      <w:pPr>
        <w:pBdr>
          <w:top w:val="none" w:sz="0" w:space="0" w:color="000000"/>
          <w:left w:val="none" w:sz="0" w:space="0" w:color="000000"/>
          <w:bottom w:val="none" w:sz="0" w:space="0" w:color="000000"/>
          <w:right w:val="none" w:sz="0" w:space="0" w:color="000000"/>
        </w:pBdr>
        <w:spacing w:after="0" w:line="276" w:lineRule="auto"/>
        <w:ind w:left="59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депутатами України</w:t>
      </w:r>
    </w:p>
    <w:p w14:paraId="00000004" w14:textId="77777777" w:rsidR="00A152A8" w:rsidRDefault="001F30CB">
      <w:pPr>
        <w:pBdr>
          <w:top w:val="none" w:sz="0" w:space="0" w:color="000000"/>
          <w:left w:val="none" w:sz="0" w:space="0" w:color="000000"/>
          <w:bottom w:val="none" w:sz="0" w:space="0" w:color="000000"/>
          <w:right w:val="none" w:sz="0" w:space="0" w:color="000000"/>
        </w:pBdr>
        <w:spacing w:after="0" w:line="276" w:lineRule="auto"/>
        <w:ind w:left="5940"/>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Совсун І.Р. (посв. 223)</w:t>
      </w:r>
    </w:p>
    <w:p w14:paraId="00000005" w14:textId="77777777" w:rsidR="00A152A8" w:rsidRDefault="00A152A8">
      <w:pPr>
        <w:pBdr>
          <w:top w:val="none" w:sz="0" w:space="0" w:color="000000"/>
          <w:left w:val="none" w:sz="0" w:space="0" w:color="000000"/>
          <w:bottom w:val="none" w:sz="0" w:space="0" w:color="000000"/>
          <w:right w:val="none" w:sz="0" w:space="0" w:color="000000"/>
        </w:pBdr>
        <w:spacing w:after="0" w:line="276" w:lineRule="auto"/>
        <w:ind w:left="5940"/>
        <w:rPr>
          <w:rFonts w:ascii="Times New Roman" w:eastAsia="Times New Roman" w:hAnsi="Times New Roman" w:cs="Times New Roman"/>
          <w:b/>
          <w:sz w:val="28"/>
          <w:szCs w:val="28"/>
        </w:rPr>
      </w:pPr>
    </w:p>
    <w:p w14:paraId="00000006" w14:textId="77777777" w:rsidR="00A152A8" w:rsidRDefault="00A152A8">
      <w:pPr>
        <w:pBdr>
          <w:top w:val="nil"/>
          <w:left w:val="nil"/>
          <w:bottom w:val="nil"/>
          <w:right w:val="nil"/>
          <w:between w:val="nil"/>
        </w:pBdr>
        <w:spacing w:after="0" w:line="276" w:lineRule="auto"/>
        <w:jc w:val="center"/>
        <w:rPr>
          <w:rFonts w:ascii="Times New Roman" w:eastAsia="Times New Roman" w:hAnsi="Times New Roman" w:cs="Times New Roman"/>
          <w:sz w:val="28"/>
          <w:szCs w:val="28"/>
        </w:rPr>
      </w:pPr>
    </w:p>
    <w:p w14:paraId="00000007" w14:textId="77777777" w:rsidR="00A152A8" w:rsidRDefault="001F30CB">
      <w:pPr>
        <w:pBdr>
          <w:top w:val="none" w:sz="0" w:space="0" w:color="000000"/>
          <w:left w:val="none" w:sz="0" w:space="0" w:color="000000"/>
          <w:bottom w:val="none" w:sz="0" w:space="0" w:color="000000"/>
          <w:right w:val="none" w:sz="0" w:space="0" w:color="000000"/>
        </w:pBdr>
        <w:spacing w:after="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32"/>
          <w:szCs w:val="32"/>
        </w:rPr>
        <w:t>ЗАКОН УКРАЇНИ</w:t>
      </w:r>
    </w:p>
    <w:p w14:paraId="00000008" w14:textId="77777777" w:rsidR="00A152A8" w:rsidRDefault="001F30CB">
      <w:pPr>
        <w:widowControl w:val="0"/>
        <w:pBdr>
          <w:top w:val="nil"/>
          <w:left w:val="nil"/>
          <w:bottom w:val="nil"/>
          <w:right w:val="nil"/>
          <w:between w:val="nil"/>
        </w:pBdr>
        <w:spacing w:after="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внесення змін до Бюджетного кодексу України</w:t>
      </w:r>
    </w:p>
    <w:p w14:paraId="00000009" w14:textId="77777777" w:rsidR="00A152A8" w:rsidRDefault="001F30CB">
      <w:pPr>
        <w:pBdr>
          <w:top w:val="nil"/>
          <w:left w:val="nil"/>
          <w:bottom w:val="nil"/>
          <w:right w:val="nil"/>
          <w:between w:val="nil"/>
        </w:pBdr>
        <w:spacing w:after="0" w:line="276"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щодо фінансування </w:t>
      </w:r>
      <w:r>
        <w:rPr>
          <w:rFonts w:ascii="Times New Roman" w:eastAsia="Times New Roman" w:hAnsi="Times New Roman" w:cs="Times New Roman"/>
          <w:b/>
          <w:sz w:val="28"/>
          <w:szCs w:val="28"/>
        </w:rPr>
        <w:t>дошкільної</w:t>
      </w:r>
      <w:r>
        <w:rPr>
          <w:rFonts w:ascii="Times New Roman" w:eastAsia="Times New Roman" w:hAnsi="Times New Roman" w:cs="Times New Roman"/>
          <w:b/>
          <w:sz w:val="28"/>
          <w:szCs w:val="28"/>
        </w:rPr>
        <w:t xml:space="preserve"> освіти</w:t>
      </w:r>
    </w:p>
    <w:p w14:paraId="0000000A" w14:textId="77777777" w:rsidR="00A152A8" w:rsidRDefault="00A152A8">
      <w:pPr>
        <w:pBdr>
          <w:top w:val="nil"/>
          <w:left w:val="nil"/>
          <w:bottom w:val="nil"/>
          <w:right w:val="nil"/>
          <w:between w:val="nil"/>
        </w:pBdr>
        <w:spacing w:after="0" w:line="276" w:lineRule="auto"/>
        <w:ind w:firstLine="709"/>
        <w:jc w:val="both"/>
        <w:rPr>
          <w:rFonts w:ascii="Times New Roman" w:eastAsia="Times New Roman" w:hAnsi="Times New Roman" w:cs="Times New Roman"/>
          <w:b/>
          <w:sz w:val="28"/>
          <w:szCs w:val="28"/>
        </w:rPr>
      </w:pPr>
    </w:p>
    <w:p w14:paraId="0000000B" w14:textId="77777777" w:rsidR="00A152A8" w:rsidRDefault="001F30CB">
      <w:pPr>
        <w:pBdr>
          <w:top w:val="nil"/>
          <w:left w:val="nil"/>
          <w:bottom w:val="nil"/>
          <w:right w:val="nil"/>
          <w:between w:val="nil"/>
        </w:pBdr>
        <w:spacing w:after="0" w:line="276" w:lineRule="auto"/>
        <w:ind w:firstLine="57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Верховна Рада України постановляє:</w:t>
      </w:r>
    </w:p>
    <w:p w14:paraId="0000000C" w14:textId="77777777" w:rsidR="00A152A8" w:rsidRDefault="00A152A8">
      <w:pPr>
        <w:pBdr>
          <w:top w:val="nil"/>
          <w:left w:val="nil"/>
          <w:bottom w:val="nil"/>
          <w:right w:val="nil"/>
          <w:between w:val="nil"/>
        </w:pBdr>
        <w:spacing w:after="0" w:line="276" w:lineRule="auto"/>
        <w:ind w:firstLine="570"/>
        <w:jc w:val="both"/>
        <w:rPr>
          <w:rFonts w:ascii="Times New Roman" w:eastAsia="Times New Roman" w:hAnsi="Times New Roman" w:cs="Times New Roman"/>
          <w:sz w:val="28"/>
          <w:szCs w:val="28"/>
          <w:highlight w:val="white"/>
        </w:rPr>
      </w:pPr>
    </w:p>
    <w:p w14:paraId="0000000D" w14:textId="77777777" w:rsidR="00A152A8" w:rsidRDefault="001F30CB">
      <w:pPr>
        <w:pBdr>
          <w:top w:val="nil"/>
          <w:left w:val="nil"/>
          <w:bottom w:val="nil"/>
          <w:right w:val="nil"/>
          <w:between w:val="nil"/>
        </w:pBdr>
        <w:spacing w:after="0" w:line="276" w:lineRule="auto"/>
        <w:ind w:firstLine="570"/>
        <w:jc w:val="both"/>
        <w:rPr>
          <w:rFonts w:ascii="Times New Roman" w:eastAsia="Times New Roman" w:hAnsi="Times New Roman" w:cs="Times New Roman"/>
          <w:b/>
          <w:color w:val="000000"/>
          <w:sz w:val="28"/>
          <w:szCs w:val="28"/>
          <w:highlight w:val="white"/>
        </w:rPr>
      </w:pPr>
      <w:r>
        <w:rPr>
          <w:rFonts w:ascii="Times New Roman" w:eastAsia="Times New Roman" w:hAnsi="Times New Roman" w:cs="Times New Roman"/>
          <w:b/>
          <w:color w:val="000000"/>
          <w:sz w:val="28"/>
          <w:szCs w:val="28"/>
          <w:highlight w:val="white"/>
        </w:rPr>
        <w:t xml:space="preserve">І. Внести до </w:t>
      </w:r>
      <w:r>
        <w:rPr>
          <w:rFonts w:ascii="Times New Roman" w:eastAsia="Times New Roman" w:hAnsi="Times New Roman" w:cs="Times New Roman"/>
          <w:b/>
          <w:sz w:val="28"/>
          <w:szCs w:val="28"/>
          <w:highlight w:val="white"/>
        </w:rPr>
        <w:t>Бюджетного</w:t>
      </w:r>
      <w:r>
        <w:rPr>
          <w:rFonts w:ascii="Times New Roman" w:eastAsia="Times New Roman" w:hAnsi="Times New Roman" w:cs="Times New Roman"/>
          <w:b/>
          <w:color w:val="000000"/>
          <w:sz w:val="28"/>
          <w:szCs w:val="28"/>
          <w:highlight w:val="white"/>
        </w:rPr>
        <w:t xml:space="preserve"> кодексу України (Відомості Верховної Ради України, (ВВР), </w:t>
      </w:r>
      <w:r>
        <w:rPr>
          <w:rFonts w:ascii="Times New Roman" w:eastAsia="Times New Roman" w:hAnsi="Times New Roman" w:cs="Times New Roman"/>
          <w:b/>
          <w:sz w:val="28"/>
          <w:szCs w:val="28"/>
          <w:highlight w:val="white"/>
        </w:rPr>
        <w:t>2010, № 50-51, ст.572</w:t>
      </w:r>
      <w:r>
        <w:rPr>
          <w:rFonts w:ascii="Times New Roman" w:eastAsia="Times New Roman" w:hAnsi="Times New Roman" w:cs="Times New Roman"/>
          <w:b/>
          <w:color w:val="000000"/>
          <w:sz w:val="28"/>
          <w:szCs w:val="28"/>
          <w:highlight w:val="white"/>
        </w:rPr>
        <w:t>) такі зміни:</w:t>
      </w:r>
    </w:p>
    <w:p w14:paraId="0000000E" w14:textId="77777777" w:rsidR="00A152A8" w:rsidRDefault="00A152A8">
      <w:pPr>
        <w:pBdr>
          <w:top w:val="nil"/>
          <w:left w:val="nil"/>
          <w:bottom w:val="nil"/>
          <w:right w:val="nil"/>
          <w:between w:val="nil"/>
        </w:pBdr>
        <w:spacing w:after="0" w:line="276" w:lineRule="auto"/>
        <w:ind w:firstLine="570"/>
        <w:jc w:val="both"/>
        <w:rPr>
          <w:rFonts w:ascii="Times New Roman" w:eastAsia="Times New Roman" w:hAnsi="Times New Roman" w:cs="Times New Roman"/>
          <w:b/>
          <w:sz w:val="28"/>
          <w:szCs w:val="28"/>
          <w:highlight w:val="white"/>
        </w:rPr>
      </w:pPr>
    </w:p>
    <w:p w14:paraId="0000000F" w14:textId="77777777" w:rsidR="00A152A8" w:rsidRDefault="001F30CB">
      <w:pPr>
        <w:numPr>
          <w:ilvl w:val="0"/>
          <w:numId w:val="1"/>
        </w:numPr>
        <w:pBdr>
          <w:top w:val="nil"/>
          <w:left w:val="nil"/>
          <w:bottom w:val="nil"/>
          <w:right w:val="nil"/>
          <w:between w:val="nil"/>
        </w:pBdr>
        <w:spacing w:after="0" w:line="276" w:lineRule="auto"/>
        <w:ind w:left="0" w:firstLine="570"/>
        <w:jc w:val="both"/>
        <w:rPr>
          <w:sz w:val="28"/>
          <w:szCs w:val="28"/>
        </w:rPr>
      </w:pPr>
      <w:r>
        <w:rPr>
          <w:rFonts w:ascii="Times New Roman" w:eastAsia="Times New Roman" w:hAnsi="Times New Roman" w:cs="Times New Roman"/>
          <w:sz w:val="28"/>
          <w:szCs w:val="28"/>
        </w:rPr>
        <w:t>Доповнити частину першу статті 97 пунктом 6-2 такого змісту:</w:t>
      </w:r>
    </w:p>
    <w:p w14:paraId="00000010" w14:textId="77777777" w:rsidR="00A152A8" w:rsidRDefault="001F30CB">
      <w:pPr>
        <w:spacing w:after="0" w:line="276" w:lineRule="auto"/>
        <w:ind w:firstLine="57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6-2) субвенція на розширення доступу до дошкільної освіти;».</w:t>
      </w:r>
    </w:p>
    <w:p w14:paraId="00000011" w14:textId="77777777" w:rsidR="00A152A8" w:rsidRDefault="00A152A8">
      <w:pPr>
        <w:spacing w:after="0" w:line="276" w:lineRule="auto"/>
        <w:ind w:firstLine="570"/>
        <w:jc w:val="both"/>
        <w:rPr>
          <w:rFonts w:ascii="Times New Roman" w:eastAsia="Times New Roman" w:hAnsi="Times New Roman" w:cs="Times New Roman"/>
          <w:b/>
          <w:sz w:val="28"/>
          <w:szCs w:val="28"/>
        </w:rPr>
      </w:pPr>
    </w:p>
    <w:p w14:paraId="00000012" w14:textId="77777777" w:rsidR="00A152A8" w:rsidRDefault="001F30CB">
      <w:pPr>
        <w:numPr>
          <w:ilvl w:val="0"/>
          <w:numId w:val="1"/>
        </w:numPr>
        <w:pBdr>
          <w:top w:val="nil"/>
          <w:left w:val="nil"/>
          <w:bottom w:val="nil"/>
          <w:right w:val="nil"/>
          <w:between w:val="nil"/>
        </w:pBdr>
        <w:spacing w:after="0" w:line="276" w:lineRule="auto"/>
        <w:ind w:left="0" w:firstLine="57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Після статті 103-6 доповнити новою ст</w:t>
      </w:r>
      <w:r>
        <w:rPr>
          <w:rFonts w:ascii="Times New Roman" w:eastAsia="Times New Roman" w:hAnsi="Times New Roman" w:cs="Times New Roman"/>
          <w:sz w:val="28"/>
          <w:szCs w:val="28"/>
        </w:rPr>
        <w:t>аттею такого змісту:</w:t>
      </w:r>
    </w:p>
    <w:p w14:paraId="00000013" w14:textId="77777777" w:rsidR="00A152A8" w:rsidRDefault="001F30CB">
      <w:pPr>
        <w:pBdr>
          <w:top w:val="nil"/>
          <w:left w:val="nil"/>
          <w:bottom w:val="nil"/>
          <w:right w:val="nil"/>
          <w:between w:val="nil"/>
        </w:pBdr>
        <w:spacing w:after="0" w:line="276" w:lineRule="auto"/>
        <w:ind w:firstLine="57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103</w:t>
      </w:r>
      <w:r>
        <w:rPr>
          <w:rFonts w:ascii="Times New Roman" w:eastAsia="Times New Roman" w:hAnsi="Times New Roman" w:cs="Times New Roman"/>
          <w:b/>
          <w:sz w:val="28"/>
          <w:szCs w:val="28"/>
          <w:vertAlign w:val="superscript"/>
        </w:rPr>
        <w:t>-7</w:t>
      </w:r>
      <w:r>
        <w:rPr>
          <w:rFonts w:ascii="Times New Roman" w:eastAsia="Times New Roman" w:hAnsi="Times New Roman" w:cs="Times New Roman"/>
          <w:b/>
          <w:sz w:val="28"/>
          <w:szCs w:val="28"/>
        </w:rPr>
        <w:t>. Субвенція на розширення доступу до дошкільної освіти</w:t>
      </w:r>
    </w:p>
    <w:p w14:paraId="00000014" w14:textId="77777777" w:rsidR="00A152A8" w:rsidRDefault="001F30CB">
      <w:pPr>
        <w:shd w:val="clear" w:color="auto" w:fill="FFFFFF"/>
        <w:spacing w:after="0" w:line="276" w:lineRule="auto"/>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Субвенція на розширення доступу до дошкільної освіти спрямовується на поточні видатки та оновлення матеріально-технічної бази у таких типах </w:t>
      </w:r>
      <w:r>
        <w:rPr>
          <w:rFonts w:ascii="Times New Roman" w:eastAsia="Times New Roman" w:hAnsi="Times New Roman" w:cs="Times New Roman"/>
          <w:b/>
          <w:sz w:val="28"/>
          <w:szCs w:val="28"/>
        </w:rPr>
        <w:t>з</w:t>
      </w:r>
      <w:r>
        <w:rPr>
          <w:rFonts w:ascii="Times New Roman" w:eastAsia="Times New Roman" w:hAnsi="Times New Roman" w:cs="Times New Roman"/>
          <w:sz w:val="28"/>
          <w:szCs w:val="28"/>
        </w:rPr>
        <w:t>акладів освіти</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державно</w:t>
      </w:r>
      <w:r>
        <w:rPr>
          <w:rFonts w:ascii="Times New Roman" w:eastAsia="Times New Roman" w:hAnsi="Times New Roman" w:cs="Times New Roman"/>
          <w:sz w:val="28"/>
          <w:szCs w:val="28"/>
        </w:rPr>
        <w:t>ї та комунальної власності:</w:t>
      </w:r>
    </w:p>
    <w:p w14:paraId="00000015" w14:textId="77777777" w:rsidR="00A152A8" w:rsidRDefault="001F30CB">
      <w:pPr>
        <w:shd w:val="clear" w:color="auto" w:fill="FFFFFF"/>
        <w:spacing w:after="0" w:line="276" w:lineRule="auto"/>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заклади дошкільної освіти</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sz w:val="28"/>
          <w:szCs w:val="28"/>
        </w:rPr>
        <w:t>усіх типів відповідно до ч. 1 ст. 12 Закону України «Про дошкільну освіту»;</w:t>
      </w:r>
    </w:p>
    <w:p w14:paraId="00000016" w14:textId="77777777" w:rsidR="00A152A8" w:rsidRDefault="001F30CB">
      <w:pPr>
        <w:shd w:val="clear" w:color="auto" w:fill="FFFFFF"/>
        <w:spacing w:after="0" w:line="276" w:lineRule="auto"/>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дошкільні відділення навчально-виховних комплексів та об’єднань.</w:t>
      </w:r>
    </w:p>
    <w:p w14:paraId="00000017" w14:textId="77777777" w:rsidR="00A152A8" w:rsidRDefault="001F30CB">
      <w:pPr>
        <w:shd w:val="clear" w:color="auto" w:fill="FFFFFF"/>
        <w:spacing w:after="0" w:line="276" w:lineRule="auto"/>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законі про Державний бюджет України затверджуються обсяги субвенції на розширення доступу до дошкільної освіти окремо міських (міст Києва та Севастополя, міст республіканського Автономної Республіки Крим та обласного значення) бюджетів та бюджетів об’</w:t>
      </w:r>
      <w:r>
        <w:rPr>
          <w:rFonts w:ascii="Times New Roman" w:eastAsia="Times New Roman" w:hAnsi="Times New Roman" w:cs="Times New Roman"/>
          <w:sz w:val="28"/>
          <w:szCs w:val="28"/>
        </w:rPr>
        <w:t>єднаних територіальних громад.</w:t>
      </w:r>
    </w:p>
    <w:p w14:paraId="00000018" w14:textId="77777777" w:rsidR="00A152A8" w:rsidRDefault="001F30CB">
      <w:pPr>
        <w:shd w:val="clear" w:color="auto" w:fill="FFFFFF"/>
        <w:spacing w:after="0" w:line="276" w:lineRule="auto"/>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Субвенція на розширення доступу до дошкільної освіти складається із базового (70% від загального обсягу субвенції) та стимулюючого (30% від загального обсягу субвенції) компонентів та розподіляється між відповідними бюджет</w:t>
      </w:r>
      <w:r>
        <w:rPr>
          <w:rFonts w:ascii="Times New Roman" w:eastAsia="Times New Roman" w:hAnsi="Times New Roman" w:cs="Times New Roman"/>
          <w:sz w:val="28"/>
          <w:szCs w:val="28"/>
        </w:rPr>
        <w:t xml:space="preserve">ами на основі формули, яка розробляється центральним органом </w:t>
      </w:r>
      <w:r>
        <w:rPr>
          <w:rFonts w:ascii="Times New Roman" w:eastAsia="Times New Roman" w:hAnsi="Times New Roman" w:cs="Times New Roman"/>
          <w:sz w:val="28"/>
          <w:szCs w:val="28"/>
        </w:rPr>
        <w:lastRenderedPageBreak/>
        <w:t>виконавчої влади, що забезпечує формування та реалізує державну політику у сфері освіти, та затверджується Кабінетом Міністрів України і має враховувати, зокрема, такі параметри:</w:t>
      </w:r>
    </w:p>
    <w:p w14:paraId="00000019" w14:textId="77777777" w:rsidR="00A152A8" w:rsidRDefault="001F30CB">
      <w:pPr>
        <w:shd w:val="clear" w:color="auto" w:fill="FFFFFF"/>
        <w:spacing w:after="0" w:line="276" w:lineRule="auto"/>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кількість діт</w:t>
      </w:r>
      <w:r>
        <w:rPr>
          <w:rFonts w:ascii="Times New Roman" w:eastAsia="Times New Roman" w:hAnsi="Times New Roman" w:cs="Times New Roman"/>
          <w:sz w:val="28"/>
          <w:szCs w:val="28"/>
        </w:rPr>
        <w:t>ей віком до 7 років, що мешкають на території, підпорядкованій розпорядникам міських (міст Києва та Севастополя, міст республіканського Автономної Республіки Крим та обласного значення) бюджетів та бюджетів об’єднаних територіальних громад відповідно до да</w:t>
      </w:r>
      <w:r>
        <w:rPr>
          <w:rFonts w:ascii="Times New Roman" w:eastAsia="Times New Roman" w:hAnsi="Times New Roman" w:cs="Times New Roman"/>
          <w:sz w:val="28"/>
          <w:szCs w:val="28"/>
        </w:rPr>
        <w:t>них Єдиного державного демографічного реєстру;</w:t>
      </w:r>
    </w:p>
    <w:p w14:paraId="0000001A" w14:textId="77777777" w:rsidR="00A152A8" w:rsidRDefault="001F30CB">
      <w:pPr>
        <w:shd w:val="clear" w:color="auto" w:fill="FFFFFF"/>
        <w:spacing w:after="0" w:line="276" w:lineRule="auto"/>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динаміку показників охоплення дошкільною освітою дітей різних вікових груп та медіанного розміру груп у закладах дошкільної освіти державної та комунальної форми власності.</w:t>
      </w:r>
    </w:p>
    <w:p w14:paraId="0000001B" w14:textId="77777777" w:rsidR="00A152A8" w:rsidRDefault="001F30CB">
      <w:pPr>
        <w:shd w:val="clear" w:color="auto" w:fill="FFFFFF"/>
        <w:spacing w:after="0" w:line="276" w:lineRule="auto"/>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Фінансовий норматив бюджетної заб</w:t>
      </w:r>
      <w:r>
        <w:rPr>
          <w:rFonts w:ascii="Times New Roman" w:eastAsia="Times New Roman" w:hAnsi="Times New Roman" w:cs="Times New Roman"/>
          <w:sz w:val="28"/>
          <w:szCs w:val="28"/>
        </w:rPr>
        <w:t>езпеченості, що використовується для розподілу субвенції на розширення доступу до дошкільної освіти, визначається Кабінетом Міністрів України з урахуванням зазначених параметрів.</w:t>
      </w:r>
    </w:p>
    <w:p w14:paraId="0000001C" w14:textId="77777777" w:rsidR="00A152A8" w:rsidRDefault="001F30CB">
      <w:pPr>
        <w:shd w:val="clear" w:color="auto" w:fill="FFFFFF"/>
        <w:spacing w:after="0" w:line="276" w:lineRule="auto"/>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Залишки коштів за субвенцією на розширення доступу до дошкільної освіти  н</w:t>
      </w:r>
      <w:r>
        <w:rPr>
          <w:rFonts w:ascii="Times New Roman" w:eastAsia="Times New Roman" w:hAnsi="Times New Roman" w:cs="Times New Roman"/>
          <w:sz w:val="28"/>
          <w:szCs w:val="28"/>
        </w:rPr>
        <w:t>а кінець бюджетного періоду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w:t>
      </w:r>
    </w:p>
    <w:p w14:paraId="0000001D" w14:textId="77777777" w:rsidR="00A152A8" w:rsidRDefault="00A152A8">
      <w:pPr>
        <w:shd w:val="clear" w:color="auto" w:fill="FFFFFF"/>
        <w:spacing w:after="0" w:line="276" w:lineRule="auto"/>
        <w:ind w:firstLine="570"/>
        <w:jc w:val="both"/>
        <w:rPr>
          <w:rFonts w:ascii="Times New Roman" w:eastAsia="Times New Roman" w:hAnsi="Times New Roman" w:cs="Times New Roman"/>
          <w:sz w:val="28"/>
          <w:szCs w:val="28"/>
        </w:rPr>
      </w:pPr>
    </w:p>
    <w:p w14:paraId="0000001E" w14:textId="77777777" w:rsidR="00A152A8" w:rsidRDefault="001F30CB">
      <w:pPr>
        <w:pBdr>
          <w:top w:val="nil"/>
          <w:left w:val="nil"/>
          <w:bottom w:val="nil"/>
          <w:right w:val="nil"/>
          <w:between w:val="nil"/>
        </w:pBdr>
        <w:spacing w:after="0" w:line="276" w:lineRule="auto"/>
        <w:ind w:firstLine="57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ІІ. Прикінцеві та перехідні положення</w:t>
      </w:r>
    </w:p>
    <w:p w14:paraId="0000001F" w14:textId="77777777" w:rsidR="00A152A8" w:rsidRDefault="001F30CB">
      <w:pPr>
        <w:numPr>
          <w:ilvl w:val="0"/>
          <w:numId w:val="2"/>
        </w:numPr>
        <w:pBdr>
          <w:top w:val="nil"/>
          <w:left w:val="nil"/>
          <w:bottom w:val="nil"/>
          <w:right w:val="nil"/>
          <w:between w:val="nil"/>
        </w:pBdr>
        <w:spacing w:after="0" w:line="276" w:lineRule="auto"/>
        <w:ind w:left="0" w:firstLine="570"/>
        <w:jc w:val="both"/>
        <w:rPr>
          <w:sz w:val="28"/>
          <w:szCs w:val="28"/>
        </w:rPr>
      </w:pPr>
      <w:r>
        <w:rPr>
          <w:rFonts w:ascii="Times New Roman" w:eastAsia="Times New Roman" w:hAnsi="Times New Roman" w:cs="Times New Roman"/>
          <w:color w:val="000000"/>
          <w:sz w:val="28"/>
          <w:szCs w:val="28"/>
        </w:rPr>
        <w:t xml:space="preserve">Цей Закон набирає чинності  з </w:t>
      </w:r>
      <w:r>
        <w:rPr>
          <w:rFonts w:ascii="Times New Roman" w:eastAsia="Times New Roman" w:hAnsi="Times New Roman" w:cs="Times New Roman"/>
          <w:sz w:val="28"/>
          <w:szCs w:val="28"/>
        </w:rPr>
        <w:t>1 сі</w:t>
      </w:r>
      <w:r>
        <w:rPr>
          <w:rFonts w:ascii="Times New Roman" w:eastAsia="Times New Roman" w:hAnsi="Times New Roman" w:cs="Times New Roman"/>
          <w:sz w:val="28"/>
          <w:szCs w:val="28"/>
        </w:rPr>
        <w:t>чня 2024 року</w:t>
      </w:r>
      <w:r>
        <w:rPr>
          <w:rFonts w:ascii="Times New Roman" w:eastAsia="Times New Roman" w:hAnsi="Times New Roman" w:cs="Times New Roman"/>
          <w:color w:val="000000"/>
          <w:sz w:val="28"/>
          <w:szCs w:val="28"/>
        </w:rPr>
        <w:t>.</w:t>
      </w:r>
    </w:p>
    <w:p w14:paraId="00000020" w14:textId="77777777" w:rsidR="00A152A8" w:rsidRDefault="001F30CB">
      <w:pPr>
        <w:numPr>
          <w:ilvl w:val="0"/>
          <w:numId w:val="2"/>
        </w:numPr>
        <w:pBdr>
          <w:top w:val="nil"/>
          <w:left w:val="nil"/>
          <w:bottom w:val="nil"/>
          <w:right w:val="nil"/>
          <w:between w:val="nil"/>
        </w:pBdr>
        <w:spacing w:after="0" w:line="276" w:lineRule="auto"/>
        <w:ind w:left="0" w:firstLine="570"/>
        <w:jc w:val="both"/>
        <w:rPr>
          <w:sz w:val="28"/>
          <w:szCs w:val="28"/>
        </w:rPr>
      </w:pPr>
      <w:r>
        <w:rPr>
          <w:rFonts w:ascii="Times New Roman" w:eastAsia="Times New Roman" w:hAnsi="Times New Roman" w:cs="Times New Roman"/>
          <w:color w:val="000000"/>
          <w:sz w:val="28"/>
          <w:szCs w:val="28"/>
        </w:rPr>
        <w:t xml:space="preserve">Кабінету Міністрів України </w:t>
      </w:r>
      <w:r>
        <w:rPr>
          <w:rFonts w:ascii="Times New Roman" w:eastAsia="Times New Roman" w:hAnsi="Times New Roman" w:cs="Times New Roman"/>
          <w:sz w:val="28"/>
          <w:szCs w:val="28"/>
        </w:rPr>
        <w:t>в</w:t>
      </w:r>
      <w:r>
        <w:rPr>
          <w:rFonts w:ascii="Times New Roman" w:eastAsia="Times New Roman" w:hAnsi="Times New Roman" w:cs="Times New Roman"/>
          <w:color w:val="000000"/>
          <w:sz w:val="28"/>
          <w:szCs w:val="28"/>
        </w:rPr>
        <w:t>продовж шести місяців привести свої нормативно-правові акти у відповідність до цього Закону.</w:t>
      </w:r>
    </w:p>
    <w:p w14:paraId="00000021" w14:textId="77777777" w:rsidR="00A152A8" w:rsidRDefault="00A152A8">
      <w:pPr>
        <w:pBdr>
          <w:top w:val="nil"/>
          <w:left w:val="nil"/>
          <w:bottom w:val="nil"/>
          <w:right w:val="nil"/>
          <w:between w:val="nil"/>
        </w:pBdr>
        <w:spacing w:after="0" w:line="276" w:lineRule="auto"/>
        <w:rPr>
          <w:rFonts w:ascii="Times New Roman" w:eastAsia="Times New Roman" w:hAnsi="Times New Roman" w:cs="Times New Roman"/>
          <w:color w:val="000000"/>
          <w:sz w:val="28"/>
          <w:szCs w:val="28"/>
        </w:rPr>
      </w:pPr>
    </w:p>
    <w:p w14:paraId="00000022" w14:textId="77777777" w:rsidR="00A152A8" w:rsidRDefault="00A152A8">
      <w:pPr>
        <w:pBdr>
          <w:top w:val="nil"/>
          <w:left w:val="nil"/>
          <w:bottom w:val="nil"/>
          <w:right w:val="nil"/>
          <w:between w:val="nil"/>
        </w:pBdr>
        <w:spacing w:after="0" w:line="276" w:lineRule="auto"/>
        <w:rPr>
          <w:rFonts w:ascii="Times New Roman" w:eastAsia="Times New Roman" w:hAnsi="Times New Roman" w:cs="Times New Roman"/>
          <w:color w:val="000000"/>
          <w:sz w:val="28"/>
          <w:szCs w:val="28"/>
        </w:rPr>
      </w:pPr>
    </w:p>
    <w:p w14:paraId="00000023" w14:textId="77777777" w:rsidR="00A152A8" w:rsidRDefault="001F30CB">
      <w:pPr>
        <w:spacing w:before="120" w:after="120"/>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Голова Верховної Ради</w:t>
      </w:r>
    </w:p>
    <w:p w14:paraId="00000024" w14:textId="77777777" w:rsidR="00A152A8" w:rsidRDefault="001F30CB">
      <w:pPr>
        <w:spacing w:before="120" w:after="120"/>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rPr>
        <w:t>України</w:t>
      </w:r>
    </w:p>
    <w:p w14:paraId="00000025" w14:textId="77777777" w:rsidR="00A152A8" w:rsidRDefault="00A152A8">
      <w:pPr>
        <w:pBdr>
          <w:top w:val="nil"/>
          <w:left w:val="nil"/>
          <w:bottom w:val="nil"/>
          <w:right w:val="nil"/>
          <w:between w:val="nil"/>
        </w:pBdr>
        <w:spacing w:after="0" w:line="276" w:lineRule="auto"/>
        <w:rPr>
          <w:rFonts w:ascii="Times New Roman" w:eastAsia="Times New Roman" w:hAnsi="Times New Roman" w:cs="Times New Roman"/>
          <w:b/>
          <w:color w:val="000000"/>
          <w:sz w:val="28"/>
          <w:szCs w:val="28"/>
          <w:highlight w:val="white"/>
        </w:rPr>
      </w:pPr>
    </w:p>
    <w:sectPr w:rsidR="00A152A8">
      <w:headerReference w:type="default" r:id="rId10"/>
      <w:footerReference w:type="default" r:id="rId11"/>
      <w:pgSz w:w="12240" w:h="15840"/>
      <w:pgMar w:top="1440" w:right="90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EA5EA" w14:textId="77777777" w:rsidR="001F30CB" w:rsidRDefault="001F30CB">
      <w:pPr>
        <w:spacing w:after="0" w:line="240" w:lineRule="auto"/>
      </w:pPr>
      <w:r>
        <w:separator/>
      </w:r>
    </w:p>
  </w:endnote>
  <w:endnote w:type="continuationSeparator" w:id="0">
    <w:p w14:paraId="3B92B2C1" w14:textId="77777777" w:rsidR="001F30CB" w:rsidRDefault="001F3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8" w14:textId="77777777" w:rsidR="00A152A8" w:rsidRDefault="00A152A8">
    <w:pPr>
      <w:pBdr>
        <w:top w:val="nil"/>
        <w:left w:val="nil"/>
        <w:bottom w:val="nil"/>
        <w:right w:val="nil"/>
        <w:between w:val="nil"/>
      </w:pBdr>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F3BDC" w14:textId="77777777" w:rsidR="001F30CB" w:rsidRDefault="001F30CB">
      <w:pPr>
        <w:spacing w:after="0" w:line="240" w:lineRule="auto"/>
      </w:pPr>
      <w:r>
        <w:separator/>
      </w:r>
    </w:p>
  </w:footnote>
  <w:footnote w:type="continuationSeparator" w:id="0">
    <w:p w14:paraId="0488D44A" w14:textId="77777777" w:rsidR="001F30CB" w:rsidRDefault="001F3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6" w14:textId="1A80DF99" w:rsidR="00A152A8" w:rsidRDefault="001F30CB">
    <w:pPr>
      <w:pBdr>
        <w:top w:val="nil"/>
        <w:left w:val="nil"/>
        <w:bottom w:val="nil"/>
        <w:right w:val="nil"/>
        <w:between w:val="nil"/>
      </w:pBdr>
      <w:spacing w:after="0" w:line="240" w:lineRule="auto"/>
      <w:jc w:val="right"/>
      <w:rPr>
        <w:color w:val="000000"/>
      </w:rPr>
    </w:pPr>
    <w:r>
      <w:rPr>
        <w:color w:val="000000"/>
      </w:rPr>
      <w:fldChar w:fldCharType="begin"/>
    </w:r>
    <w:r>
      <w:rPr>
        <w:color w:val="000000"/>
      </w:rPr>
      <w:instrText>PAGE</w:instrText>
    </w:r>
    <w:r w:rsidR="00D32A17">
      <w:rPr>
        <w:color w:val="000000"/>
      </w:rPr>
      <w:fldChar w:fldCharType="separate"/>
    </w:r>
    <w:r w:rsidR="00D32A17">
      <w:rPr>
        <w:noProof/>
        <w:color w:val="000000"/>
      </w:rPr>
      <w:t>2</w:t>
    </w:r>
    <w:r>
      <w:rPr>
        <w:color w:val="000000"/>
      </w:rPr>
      <w:fldChar w:fldCharType="end"/>
    </w:r>
  </w:p>
  <w:p w14:paraId="00000027" w14:textId="77777777" w:rsidR="00A152A8" w:rsidRDefault="00A152A8">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98689F"/>
    <w:multiLevelType w:val="multilevel"/>
    <w:tmpl w:val="BB5C2CE2"/>
    <w:lvl w:ilvl="0">
      <w:start w:val="1"/>
      <w:numFmt w:val="decimal"/>
      <w:lvlText w:val="%1."/>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1" w15:restartNumberingAfterBreak="0">
    <w:nsid w:val="780A7B46"/>
    <w:multiLevelType w:val="multilevel"/>
    <w:tmpl w:val="F0326AE2"/>
    <w:lvl w:ilvl="0">
      <w:start w:val="1"/>
      <w:numFmt w:val="decimal"/>
      <w:lvlText w:val="%1."/>
      <w:lvlJc w:val="left"/>
      <w:pPr>
        <w:ind w:left="720" w:hanging="7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2A8"/>
    <w:rsid w:val="001F30CB"/>
    <w:rsid w:val="00A152A8"/>
    <w:rsid w:val="00D32A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362FDB-E917-40A8-BB2C-C57251B23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pBdr>
        <w:top w:val="nil"/>
        <w:left w:val="nil"/>
        <w:bottom w:val="nil"/>
        <w:right w:val="nil"/>
        <w:between w:val="nil"/>
      </w:pBdr>
      <w:spacing w:before="480" w:after="120"/>
      <w:outlineLvl w:val="0"/>
    </w:pPr>
    <w:rPr>
      <w:b/>
      <w:sz w:val="48"/>
      <w:szCs w:val="48"/>
    </w:rPr>
  </w:style>
  <w:style w:type="paragraph" w:styleId="2">
    <w:name w:val="heading 2"/>
    <w:basedOn w:val="a"/>
    <w:next w:val="a"/>
    <w:pPr>
      <w:keepNext/>
      <w:keepLines/>
      <w:pBdr>
        <w:top w:val="nil"/>
        <w:left w:val="nil"/>
        <w:bottom w:val="nil"/>
        <w:right w:val="nil"/>
        <w:between w:val="nil"/>
      </w:pBdr>
      <w:spacing w:before="360" w:after="80"/>
      <w:outlineLvl w:val="1"/>
    </w:pPr>
    <w:rPr>
      <w:b/>
      <w:sz w:val="36"/>
      <w:szCs w:val="36"/>
    </w:rPr>
  </w:style>
  <w:style w:type="paragraph" w:styleId="3">
    <w:name w:val="heading 3"/>
    <w:basedOn w:val="a"/>
    <w:next w:val="a"/>
    <w:pPr>
      <w:keepNext/>
      <w:keepLines/>
      <w:pBdr>
        <w:top w:val="nil"/>
        <w:left w:val="nil"/>
        <w:bottom w:val="nil"/>
        <w:right w:val="nil"/>
        <w:between w:val="nil"/>
      </w:pBdr>
      <w:spacing w:before="280" w:after="80"/>
      <w:outlineLvl w:val="2"/>
    </w:pPr>
    <w:rPr>
      <w:b/>
      <w:sz w:val="28"/>
      <w:szCs w:val="28"/>
    </w:rPr>
  </w:style>
  <w:style w:type="paragraph" w:styleId="4">
    <w:name w:val="heading 4"/>
    <w:basedOn w:val="a"/>
    <w:next w:val="a"/>
    <w:pPr>
      <w:keepNext/>
      <w:keepLines/>
      <w:pBdr>
        <w:top w:val="nil"/>
        <w:left w:val="nil"/>
        <w:bottom w:val="nil"/>
        <w:right w:val="nil"/>
        <w:between w:val="nil"/>
      </w:pBdr>
      <w:spacing w:before="240" w:after="40"/>
      <w:outlineLvl w:val="3"/>
    </w:pPr>
    <w:rPr>
      <w:b/>
      <w:sz w:val="24"/>
      <w:szCs w:val="24"/>
    </w:rPr>
  </w:style>
  <w:style w:type="paragraph" w:styleId="5">
    <w:name w:val="heading 5"/>
    <w:basedOn w:val="a"/>
    <w:next w:val="a"/>
    <w:pPr>
      <w:keepNext/>
      <w:keepLines/>
      <w:pBdr>
        <w:top w:val="nil"/>
        <w:left w:val="nil"/>
        <w:bottom w:val="nil"/>
        <w:right w:val="nil"/>
        <w:between w:val="nil"/>
      </w:pBdr>
      <w:spacing w:before="220" w:after="40"/>
      <w:outlineLvl w:val="4"/>
    </w:pPr>
    <w:rPr>
      <w:b/>
    </w:rPr>
  </w:style>
  <w:style w:type="paragraph" w:styleId="6">
    <w:name w:val="heading 6"/>
    <w:basedOn w:val="a"/>
    <w:next w:val="a"/>
    <w:pPr>
      <w:keepNext/>
      <w:keepLines/>
      <w:pBdr>
        <w:top w:val="nil"/>
        <w:left w:val="nil"/>
        <w:bottom w:val="nil"/>
        <w:right w:val="nil"/>
        <w:between w:val="nil"/>
      </w:pBdr>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pBdr>
        <w:top w:val="nil"/>
        <w:left w:val="nil"/>
        <w:bottom w:val="nil"/>
        <w:right w:val="nil"/>
        <w:between w:val="nil"/>
      </w:pBdr>
      <w:spacing w:before="480" w:after="120"/>
    </w:pPr>
    <w:rPr>
      <w:b/>
      <w:sz w:val="72"/>
      <w:szCs w:val="72"/>
    </w:rPr>
  </w:style>
  <w:style w:type="paragraph" w:styleId="a4">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BA5483-9915-4CE7-975E-05C72CF467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93384D-A9A1-4B9A-AE13-5E37E18F4968}">
  <ds:schemaRefs>
    <ds:schemaRef ds:uri="http://schemas.microsoft.com/sharepoint/v3/contenttype/forms"/>
  </ds:schemaRefs>
</ds:datastoreItem>
</file>

<file path=customXml/itemProps3.xml><?xml version="1.0" encoding="utf-8"?>
<ds:datastoreItem xmlns:ds="http://schemas.openxmlformats.org/officeDocument/2006/customXml" ds:itemID="{11659DC1-1319-41A4-A079-A7A088B12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1849</Words>
  <Characters>1055</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2021-12-28T15:49:00Z</dcterms:created>
  <dcterms:modified xsi:type="dcterms:W3CDTF">2021-12-28T15:49:00Z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