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FD3" w:rsidRDefault="00416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:rsidR="00862FD3" w:rsidRDefault="00416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" w:name="_heading=h.s70irvdchkr0" w:colFirst="0" w:colLast="0"/>
      <w:bookmarkEnd w:id="2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проєкту Закону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Бюджетного кодексу України</w:t>
      </w:r>
    </w:p>
    <w:p w:rsidR="00862FD3" w:rsidRDefault="004167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щодо фінансування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дошкільної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освіти»</w:t>
      </w:r>
    </w:p>
    <w:p w:rsidR="00862FD3" w:rsidRDefault="00862F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1"/>
        <w:tblW w:w="137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99"/>
        <w:gridCol w:w="6917"/>
      </w:tblGrid>
      <w:tr w:rsidR="00862FD3">
        <w:tc>
          <w:tcPr>
            <w:tcW w:w="6799" w:type="dxa"/>
          </w:tcPr>
          <w:p w:rsidR="00862FD3" w:rsidRDefault="004167C4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Зміст положення (норми) чинного акту</w:t>
            </w:r>
          </w:p>
        </w:tc>
        <w:tc>
          <w:tcPr>
            <w:tcW w:w="6917" w:type="dxa"/>
          </w:tcPr>
          <w:p w:rsidR="00862FD3" w:rsidRDefault="004167C4">
            <w:pPr>
              <w:ind w:right="296" w:firstLine="0"/>
              <w:jc w:val="center"/>
              <w:rPr>
                <w:b/>
              </w:rPr>
            </w:pPr>
            <w:r>
              <w:rPr>
                <w:b/>
              </w:rPr>
              <w:t>Зміст відповідного положення (норми) проекту акту</w:t>
            </w:r>
          </w:p>
        </w:tc>
      </w:tr>
      <w:tr w:rsidR="00862FD3">
        <w:trPr>
          <w:trHeight w:val="688"/>
        </w:trPr>
        <w:tc>
          <w:tcPr>
            <w:tcW w:w="6799" w:type="dxa"/>
          </w:tcPr>
          <w:p w:rsidR="00862FD3" w:rsidRDefault="004167C4">
            <w:pPr>
              <w:ind w:firstLine="45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Стаття 97. Трансферти, що надаються з Державного бюджету України місцевим бюджетам</w:t>
            </w:r>
          </w:p>
        </w:tc>
        <w:tc>
          <w:tcPr>
            <w:tcW w:w="6917" w:type="dxa"/>
          </w:tcPr>
          <w:p w:rsidR="00862FD3" w:rsidRDefault="004167C4">
            <w:pPr>
              <w:ind w:firstLine="450"/>
              <w:jc w:val="both"/>
              <w:rPr>
                <w:b/>
                <w:color w:val="000000"/>
              </w:rPr>
            </w:pPr>
            <w:r>
              <w:rPr>
                <w:b/>
                <w:sz w:val="24"/>
                <w:szCs w:val="24"/>
              </w:rPr>
              <w:t>Стаття 97. Трансферти, що надаються з Державного бюджету України місцевим бюджетам</w:t>
            </w:r>
          </w:p>
        </w:tc>
      </w:tr>
      <w:tr w:rsidR="00862FD3">
        <w:tc>
          <w:tcPr>
            <w:tcW w:w="6799" w:type="dxa"/>
          </w:tcPr>
          <w:p w:rsidR="00862FD3" w:rsidRDefault="004167C4">
            <w:pPr>
              <w:spacing w:after="24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У Державному бюджеті України можуть передбачатися такі трансферти місцевим бюджетам:</w:t>
            </w:r>
          </w:p>
          <w:p w:rsidR="00862FD3" w:rsidRDefault="004167C4">
            <w:pPr>
              <w:spacing w:before="240" w:after="24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) базова дотація;</w:t>
            </w:r>
          </w:p>
          <w:p w:rsidR="00862FD3" w:rsidRDefault="004167C4">
            <w:pPr>
              <w:spacing w:after="24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 субвенції на здійснення державних програм соціального захисту;</w:t>
            </w:r>
          </w:p>
          <w:p w:rsidR="00862FD3" w:rsidRDefault="004167C4">
            <w:pPr>
              <w:spacing w:before="240" w:after="24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4) додаткова дотація на компенсацію втрат доходів місцевих бюджетів внаслідок надання пільг, встановлених державою;</w:t>
            </w:r>
          </w:p>
          <w:p w:rsidR="00862FD3" w:rsidRDefault="004167C4">
            <w:pPr>
              <w:spacing w:before="240" w:after="24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sz w:val="2"/>
                <w:szCs w:val="2"/>
              </w:rPr>
              <w:t>---</w:t>
            </w:r>
            <w:r>
              <w:rPr>
                <w:sz w:val="24"/>
                <w:szCs w:val="24"/>
              </w:rPr>
              <w:t>2) додаткова дотація на здійснення переданих з держа</w:t>
            </w:r>
            <w:r>
              <w:rPr>
                <w:sz w:val="24"/>
                <w:szCs w:val="24"/>
              </w:rPr>
              <w:t>вного бюджету видатків з утримання закладів освіти та охорони здоров’я;</w:t>
            </w:r>
          </w:p>
          <w:p w:rsidR="00862FD3" w:rsidRDefault="004167C4">
            <w:pPr>
              <w:spacing w:after="24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5) субвенція на виконання інвестиційних проектів;</w:t>
            </w:r>
          </w:p>
          <w:p w:rsidR="00862FD3" w:rsidRDefault="004167C4">
            <w:pPr>
              <w:spacing w:before="240" w:after="24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6) освітня субвенція;</w:t>
            </w:r>
          </w:p>
          <w:p w:rsidR="00862FD3" w:rsidRDefault="004167C4">
            <w:pPr>
              <w:spacing w:before="240" w:after="24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>
              <w:rPr>
                <w:sz w:val="2"/>
                <w:szCs w:val="2"/>
              </w:rPr>
              <w:t>---</w:t>
            </w:r>
            <w:r>
              <w:rPr>
                <w:sz w:val="24"/>
                <w:szCs w:val="24"/>
              </w:rPr>
              <w:t>1) субвенція на надання державної підтримки особам з особливими освітніми потребами;</w:t>
            </w:r>
          </w:p>
          <w:p w:rsidR="00862FD3" w:rsidRDefault="004167C4">
            <w:pPr>
              <w:spacing w:before="240" w:after="240"/>
              <w:ind w:firstLine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Пункт відсутній</w:t>
            </w:r>
          </w:p>
          <w:p w:rsidR="00862FD3" w:rsidRDefault="004167C4">
            <w:pPr>
              <w:ind w:firstLine="0"/>
              <w:jc w:val="both"/>
            </w:pPr>
            <w:r>
              <w:t>...</w:t>
            </w:r>
          </w:p>
        </w:tc>
        <w:tc>
          <w:tcPr>
            <w:tcW w:w="6917" w:type="dxa"/>
          </w:tcPr>
          <w:p w:rsidR="00862FD3" w:rsidRDefault="004167C4">
            <w:pPr>
              <w:spacing w:after="24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У Державному бюджеті України можуть передбачатися такі трансферти місцевим бюджетам:</w:t>
            </w:r>
          </w:p>
          <w:p w:rsidR="00862FD3" w:rsidRDefault="004167C4">
            <w:pPr>
              <w:spacing w:before="240" w:after="24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базова дотація;</w:t>
            </w:r>
          </w:p>
          <w:p w:rsidR="00862FD3" w:rsidRDefault="004167C4">
            <w:pPr>
              <w:spacing w:after="24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 субвенції на здійснення державних програм соціального захисту;</w:t>
            </w:r>
          </w:p>
          <w:p w:rsidR="00862FD3" w:rsidRDefault="004167C4">
            <w:pPr>
              <w:spacing w:before="240" w:after="24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4) додаткова дотація на компенсацію втрат доходів місцевих бюджетів внаслідок надан</w:t>
            </w:r>
            <w:r>
              <w:rPr>
                <w:sz w:val="24"/>
                <w:szCs w:val="24"/>
              </w:rPr>
              <w:t>ня пільг, встановлених державою;</w:t>
            </w:r>
          </w:p>
          <w:p w:rsidR="00862FD3" w:rsidRDefault="004167C4">
            <w:pPr>
              <w:spacing w:before="240" w:after="24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sz w:val="2"/>
                <w:szCs w:val="2"/>
              </w:rPr>
              <w:t>---</w:t>
            </w:r>
            <w:r>
              <w:rPr>
                <w:sz w:val="24"/>
                <w:szCs w:val="24"/>
              </w:rPr>
              <w:t>2) додаткова дотація на здійснення переданих з державного бюджету видатків з утримання закладів освіти та охорони здоров’я;</w:t>
            </w:r>
          </w:p>
          <w:p w:rsidR="00862FD3" w:rsidRDefault="004167C4">
            <w:pPr>
              <w:spacing w:after="24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5) субвенція на виконання інвестиційних проектів;</w:t>
            </w:r>
          </w:p>
          <w:p w:rsidR="00862FD3" w:rsidRDefault="004167C4">
            <w:pPr>
              <w:spacing w:before="240" w:after="24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6) освітня субвенція;</w:t>
            </w:r>
          </w:p>
          <w:p w:rsidR="00862FD3" w:rsidRDefault="004167C4">
            <w:pPr>
              <w:spacing w:before="240" w:after="24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>
              <w:rPr>
                <w:sz w:val="2"/>
                <w:szCs w:val="2"/>
              </w:rPr>
              <w:t>---</w:t>
            </w:r>
            <w:r>
              <w:rPr>
                <w:sz w:val="24"/>
                <w:szCs w:val="24"/>
              </w:rPr>
              <w:t>1) субвенція на над</w:t>
            </w:r>
            <w:r>
              <w:rPr>
                <w:sz w:val="24"/>
                <w:szCs w:val="24"/>
              </w:rPr>
              <w:t>ання державної підтримки особам з особливими освітніми потребами;</w:t>
            </w:r>
          </w:p>
          <w:p w:rsidR="00862FD3" w:rsidRDefault="004167C4">
            <w:pPr>
              <w:spacing w:before="240" w:after="240"/>
              <w:ind w:firstLine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6-2) субвенція на розширення доступу до дошкільної освіти;</w:t>
            </w:r>
          </w:p>
          <w:p w:rsidR="00862FD3" w:rsidRDefault="004167C4">
            <w:pPr>
              <w:spacing w:before="240" w:after="24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...</w:t>
            </w:r>
          </w:p>
          <w:p w:rsidR="00862FD3" w:rsidRDefault="00862FD3">
            <w:pPr>
              <w:ind w:firstLine="450"/>
              <w:jc w:val="both"/>
            </w:pPr>
          </w:p>
        </w:tc>
      </w:tr>
      <w:tr w:rsidR="00862FD3">
        <w:trPr>
          <w:trHeight w:val="1280"/>
        </w:trPr>
        <w:tc>
          <w:tcPr>
            <w:tcW w:w="6799" w:type="dxa"/>
          </w:tcPr>
          <w:p w:rsidR="00862FD3" w:rsidRDefault="00416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 xml:space="preserve">Стаття </w:t>
            </w:r>
            <w:r>
              <w:rPr>
                <w:b/>
                <w:sz w:val="24"/>
                <w:szCs w:val="24"/>
              </w:rPr>
              <w:t>відсутня</w:t>
            </w:r>
          </w:p>
          <w:p w:rsidR="00862FD3" w:rsidRDefault="00862F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6917" w:type="dxa"/>
          </w:tcPr>
          <w:p w:rsidR="00862FD3" w:rsidRDefault="00416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Стаття 103</w:t>
            </w:r>
            <w:r>
              <w:rPr>
                <w:b/>
                <w:color w:val="000000"/>
                <w:sz w:val="2"/>
                <w:szCs w:val="2"/>
                <w:vertAlign w:val="superscript"/>
              </w:rPr>
              <w:t>-</w:t>
            </w:r>
            <w:r>
              <w:rPr>
                <w:b/>
                <w:sz w:val="16"/>
                <w:szCs w:val="16"/>
                <w:vertAlign w:val="superscript"/>
              </w:rPr>
              <w:t>7</w:t>
            </w:r>
            <w:r>
              <w:rPr>
                <w:b/>
                <w:color w:val="000000"/>
                <w:sz w:val="24"/>
                <w:szCs w:val="24"/>
              </w:rPr>
              <w:t>. С</w:t>
            </w:r>
            <w:r>
              <w:rPr>
                <w:b/>
                <w:sz w:val="24"/>
                <w:szCs w:val="24"/>
              </w:rPr>
              <w:t>убвенція на розширення доступу до дошкільної освіти</w:t>
            </w:r>
          </w:p>
          <w:p w:rsidR="00862FD3" w:rsidRDefault="00416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 Субвенція на розширення доступу до дошкільної освіти спрямовується на </w:t>
            </w:r>
            <w:r>
              <w:rPr>
                <w:sz w:val="24"/>
                <w:szCs w:val="24"/>
              </w:rPr>
              <w:t xml:space="preserve">поточні видатки та оновлення матеріально-технічної бази </w:t>
            </w:r>
            <w:r>
              <w:rPr>
                <w:color w:val="000000"/>
                <w:sz w:val="24"/>
                <w:szCs w:val="24"/>
              </w:rPr>
              <w:t xml:space="preserve">у таких типах </w:t>
            </w:r>
            <w:r>
              <w:rPr>
                <w:b/>
                <w:color w:val="000000"/>
                <w:sz w:val="24"/>
                <w:szCs w:val="24"/>
              </w:rPr>
              <w:t>з</w:t>
            </w:r>
            <w:r>
              <w:rPr>
                <w:color w:val="000000"/>
                <w:sz w:val="24"/>
                <w:szCs w:val="24"/>
              </w:rPr>
              <w:t>аклад</w:t>
            </w:r>
            <w:r>
              <w:rPr>
                <w:sz w:val="24"/>
                <w:szCs w:val="24"/>
              </w:rPr>
              <w:t>ів</w:t>
            </w:r>
            <w:r>
              <w:rPr>
                <w:color w:val="000000"/>
                <w:sz w:val="24"/>
                <w:szCs w:val="24"/>
              </w:rPr>
              <w:t xml:space="preserve"> освіти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державної та комунальної власності</w:t>
            </w:r>
            <w:r>
              <w:rPr>
                <w:color w:val="000000"/>
                <w:sz w:val="24"/>
                <w:szCs w:val="24"/>
              </w:rPr>
              <w:t>:</w:t>
            </w:r>
          </w:p>
          <w:p w:rsidR="00862FD3" w:rsidRDefault="00416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1) заклади </w:t>
            </w:r>
            <w:r>
              <w:rPr>
                <w:sz w:val="24"/>
                <w:szCs w:val="24"/>
              </w:rPr>
              <w:t xml:space="preserve">дошкільної </w:t>
            </w:r>
            <w:r>
              <w:rPr>
                <w:color w:val="000000"/>
                <w:sz w:val="24"/>
                <w:szCs w:val="24"/>
              </w:rPr>
              <w:t>освіти</w:t>
            </w:r>
            <w:r>
              <w:rPr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усіх </w:t>
            </w:r>
            <w:r>
              <w:rPr>
                <w:sz w:val="24"/>
                <w:szCs w:val="24"/>
              </w:rPr>
              <w:t>типів відповідно до ч. 1 ст. 12 Закону України “Про дошкільну освіту”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862FD3" w:rsidRDefault="00416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2) </w:t>
            </w:r>
            <w:r>
              <w:rPr>
                <w:sz w:val="24"/>
                <w:szCs w:val="24"/>
              </w:rPr>
              <w:t>до</w:t>
            </w:r>
            <w:r>
              <w:rPr>
                <w:color w:val="000000"/>
                <w:sz w:val="24"/>
                <w:szCs w:val="24"/>
              </w:rPr>
              <w:t xml:space="preserve">шкільні відділення навчально-виховних комплексів </w:t>
            </w:r>
            <w:r>
              <w:rPr>
                <w:sz w:val="24"/>
                <w:szCs w:val="24"/>
              </w:rPr>
              <w:t>та об’єднань.</w:t>
            </w:r>
          </w:p>
          <w:p w:rsidR="00862FD3" w:rsidRDefault="00862F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"/>
                <w:szCs w:val="2"/>
              </w:rPr>
            </w:pPr>
          </w:p>
          <w:p w:rsidR="00862FD3" w:rsidRDefault="00416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 У законі про Державний бюджет України затверджуються обсяги субвенції </w:t>
            </w:r>
            <w:r>
              <w:rPr>
                <w:sz w:val="24"/>
                <w:szCs w:val="24"/>
              </w:rPr>
              <w:t xml:space="preserve">на розширення доступу до дошкільної освіти </w:t>
            </w:r>
            <w:r>
              <w:rPr>
                <w:color w:val="000000"/>
                <w:sz w:val="24"/>
                <w:szCs w:val="24"/>
              </w:rPr>
              <w:t>окремо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міських (міст Києва та Севастополя, міст республіканського Автономної Республіки Крим та обласного значення) бюджетів та бюджетів об’єднаних територіальних громад.</w:t>
            </w:r>
          </w:p>
          <w:p w:rsidR="00862FD3" w:rsidRDefault="00416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 </w:t>
            </w:r>
            <w:r>
              <w:rPr>
                <w:sz w:val="24"/>
                <w:szCs w:val="24"/>
              </w:rPr>
              <w:t>С</w:t>
            </w:r>
            <w:r>
              <w:rPr>
                <w:color w:val="000000"/>
                <w:sz w:val="24"/>
                <w:szCs w:val="24"/>
              </w:rPr>
              <w:t xml:space="preserve">убвенція </w:t>
            </w:r>
            <w:r>
              <w:rPr>
                <w:sz w:val="24"/>
                <w:szCs w:val="24"/>
              </w:rPr>
              <w:t xml:space="preserve">на розширення доступу до дошкільної освіти складається із базового (70% </w:t>
            </w:r>
            <w:r>
              <w:rPr>
                <w:sz w:val="24"/>
                <w:szCs w:val="24"/>
              </w:rPr>
              <w:t xml:space="preserve">від загального обсягу субвенції) та стимулюючого (30% від загального обсягу субвенції) компонентів та </w:t>
            </w:r>
            <w:r>
              <w:rPr>
                <w:color w:val="000000"/>
                <w:sz w:val="24"/>
                <w:szCs w:val="24"/>
              </w:rPr>
              <w:t xml:space="preserve">розподіляється між відповідними бюджетами на основі формули, яка розробляється центральним органом виконавчої влади, що забезпечує формування та реалізує </w:t>
            </w:r>
            <w:r>
              <w:rPr>
                <w:color w:val="000000"/>
                <w:sz w:val="24"/>
                <w:szCs w:val="24"/>
              </w:rPr>
              <w:t>державну політику у сфері освіти, та затверджується Кабінетом Міністрів України і має враховувати, зокрема, такі параметри:</w:t>
            </w:r>
          </w:p>
          <w:p w:rsidR="00862FD3" w:rsidRDefault="00416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1) кількість </w:t>
            </w:r>
            <w:r>
              <w:rPr>
                <w:sz w:val="24"/>
                <w:szCs w:val="24"/>
              </w:rPr>
              <w:t>дітей віком до 7 років, що мешкають на території, підпорядкованій розпорядникам міських (міст Києва та Севастополя, міс</w:t>
            </w:r>
            <w:r>
              <w:rPr>
                <w:sz w:val="24"/>
                <w:szCs w:val="24"/>
              </w:rPr>
              <w:t>т республіканського Автономної Республіки Крим та обласного значення) бюджетів та бюджетів об’єднаних територіальних громад відповідно до даних Єдиного державного демографічного реєстру;</w:t>
            </w:r>
          </w:p>
          <w:p w:rsidR="00862FD3" w:rsidRDefault="00416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45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2) динаміку показників охоплення дошкільною освітою дітей різних віко</w:t>
            </w:r>
            <w:r>
              <w:rPr>
                <w:sz w:val="24"/>
                <w:szCs w:val="24"/>
              </w:rPr>
              <w:t>вих груп та медіанного розміру груп у закладах дошкільної освіти державної та комунальної форми власності.</w:t>
            </w:r>
          </w:p>
          <w:p w:rsidR="00862FD3" w:rsidRDefault="00416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Фінансовий норматив бюджетної забезпеченості, що використовується для розподілу субвенції на розширення доступу до дошкільної освіти, визначається Ка</w:t>
            </w:r>
            <w:r>
              <w:rPr>
                <w:sz w:val="24"/>
                <w:szCs w:val="24"/>
              </w:rPr>
              <w:t>бінетом Міністрів України з урахуванням зазначених параметрів.</w:t>
            </w:r>
          </w:p>
          <w:p w:rsidR="00862FD3" w:rsidRDefault="004167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150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Залишки коштів за субвенцією на розширення доступу до дошкільної освіти  на кінець бюджетного періоду зберігаються на рахунках відповідних місцевих бюджетів і використовуються у наступному б</w:t>
            </w:r>
            <w:r>
              <w:rPr>
                <w:sz w:val="24"/>
                <w:szCs w:val="24"/>
              </w:rPr>
              <w:t>юджетному періоді з урахуванням цільового призначення субвенції.</w:t>
            </w:r>
          </w:p>
        </w:tc>
      </w:tr>
    </w:tbl>
    <w:p w:rsidR="00862FD3" w:rsidRDefault="00862FD3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62FD3" w:rsidRDefault="004167C4">
      <w:pPr>
        <w:spacing w:before="240"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Народна депутатка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862FD3" w:rsidRDefault="004167C4">
      <w:pPr>
        <w:spacing w:before="240"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Совсун І.Р. (посв. 223)</w:t>
      </w:r>
    </w:p>
    <w:p w:rsidR="00862FD3" w:rsidRDefault="00862FD3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862FD3">
      <w:headerReference w:type="default" r:id="rId10"/>
      <w:pgSz w:w="15840" w:h="12240" w:orient="landscape"/>
      <w:pgMar w:top="850" w:right="850" w:bottom="850" w:left="1417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7C4" w:rsidRDefault="004167C4">
      <w:pPr>
        <w:spacing w:after="0" w:line="240" w:lineRule="auto"/>
      </w:pPr>
      <w:r>
        <w:separator/>
      </w:r>
    </w:p>
  </w:endnote>
  <w:endnote w:type="continuationSeparator" w:id="0">
    <w:p w:rsidR="004167C4" w:rsidRDefault="00416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7C4" w:rsidRDefault="004167C4">
      <w:pPr>
        <w:spacing w:after="0" w:line="240" w:lineRule="auto"/>
      </w:pPr>
      <w:r>
        <w:separator/>
      </w:r>
    </w:p>
  </w:footnote>
  <w:footnote w:type="continuationSeparator" w:id="0">
    <w:p w:rsidR="004167C4" w:rsidRDefault="00416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FD3" w:rsidRDefault="004167C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1C2597">
      <w:rPr>
        <w:color w:val="000000"/>
      </w:rPr>
      <w:fldChar w:fldCharType="separate"/>
    </w:r>
    <w:r w:rsidR="001C2597">
      <w:rPr>
        <w:noProof/>
        <w:color w:val="000000"/>
      </w:rPr>
      <w:t>2</w:t>
    </w:r>
    <w:r>
      <w:rPr>
        <w:color w:val="000000"/>
      </w:rPr>
      <w:fldChar w:fldCharType="end"/>
    </w:r>
  </w:p>
  <w:p w:rsidR="00862FD3" w:rsidRDefault="00862FD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FD3"/>
    <w:rsid w:val="001C2597"/>
    <w:rsid w:val="004167C4"/>
    <w:rsid w:val="0086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39D36A-2BDD-4516-8F85-028CB1301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53B6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BD53B6"/>
    <w:pPr>
      <w:spacing w:after="0" w:line="240" w:lineRule="auto"/>
      <w:ind w:firstLine="709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D53B6"/>
    <w:pPr>
      <w:ind w:left="720"/>
      <w:contextualSpacing/>
    </w:pPr>
  </w:style>
  <w:style w:type="paragraph" w:customStyle="1" w:styleId="rvps2">
    <w:name w:val="rvps2"/>
    <w:basedOn w:val="a"/>
    <w:rsid w:val="00BD5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52">
    <w:name w:val="rvts52"/>
    <w:rsid w:val="00BD53B6"/>
  </w:style>
  <w:style w:type="character" w:styleId="a6">
    <w:name w:val="Hyperlink"/>
    <w:basedOn w:val="a0"/>
    <w:uiPriority w:val="99"/>
    <w:semiHidden/>
    <w:unhideWhenUsed/>
    <w:rsid w:val="00BD53B6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003C6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003C61"/>
    <w:rPr>
      <w:lang w:val="uk-UA"/>
    </w:rPr>
  </w:style>
  <w:style w:type="paragraph" w:styleId="a9">
    <w:name w:val="footer"/>
    <w:basedOn w:val="a"/>
    <w:link w:val="aa"/>
    <w:uiPriority w:val="99"/>
    <w:unhideWhenUsed/>
    <w:rsid w:val="00003C6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003C61"/>
    <w:rPr>
      <w:lang w:val="uk-UA"/>
    </w:rPr>
  </w:style>
  <w:style w:type="paragraph" w:styleId="ab">
    <w:name w:val="Balloon Text"/>
    <w:basedOn w:val="a"/>
    <w:link w:val="ac"/>
    <w:uiPriority w:val="99"/>
    <w:semiHidden/>
    <w:unhideWhenUsed/>
    <w:rsid w:val="00FD3F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FD3FE7"/>
    <w:rPr>
      <w:rFonts w:ascii="Segoe UI" w:hAnsi="Segoe UI" w:cs="Segoe UI"/>
      <w:sz w:val="18"/>
      <w:szCs w:val="18"/>
      <w:lang w:val="uk-UA"/>
    </w:rPr>
  </w:style>
  <w:style w:type="paragraph" w:styleId="ad">
    <w:name w:val="No Spacing"/>
    <w:uiPriority w:val="1"/>
    <w:qFormat/>
    <w:rsid w:val="00A5577A"/>
    <w:pPr>
      <w:spacing w:after="0" w:line="240" w:lineRule="auto"/>
    </w:pPr>
    <w:rPr>
      <w:rFonts w:cs="Times New Roman"/>
    </w:rPr>
  </w:style>
  <w:style w:type="character" w:customStyle="1" w:styleId="rvts9">
    <w:name w:val="rvts9"/>
    <w:basedOn w:val="a0"/>
    <w:rsid w:val="00F5345C"/>
  </w:style>
  <w:style w:type="character" w:customStyle="1" w:styleId="rvts46">
    <w:name w:val="rvts46"/>
    <w:basedOn w:val="a0"/>
    <w:rsid w:val="00F5345C"/>
  </w:style>
  <w:style w:type="character" w:customStyle="1" w:styleId="rvts11">
    <w:name w:val="rvts11"/>
    <w:basedOn w:val="a0"/>
    <w:rsid w:val="00F5345C"/>
  </w:style>
  <w:style w:type="character" w:customStyle="1" w:styleId="rvts37">
    <w:name w:val="rvts37"/>
    <w:basedOn w:val="a0"/>
    <w:rsid w:val="00F5345C"/>
  </w:style>
  <w:style w:type="paragraph" w:customStyle="1" w:styleId="msonormal0">
    <w:name w:val="msonormal"/>
    <w:basedOn w:val="a"/>
    <w:rsid w:val="00F53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vps7">
    <w:name w:val="rvps7"/>
    <w:basedOn w:val="a"/>
    <w:rsid w:val="00F53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rvts15">
    <w:name w:val="rvts15"/>
    <w:basedOn w:val="a0"/>
    <w:rsid w:val="00F5345C"/>
  </w:style>
  <w:style w:type="character" w:styleId="ae">
    <w:name w:val="FollowedHyperlink"/>
    <w:basedOn w:val="a0"/>
    <w:uiPriority w:val="99"/>
    <w:semiHidden/>
    <w:unhideWhenUsed/>
    <w:rsid w:val="00F5345C"/>
    <w:rPr>
      <w:color w:val="800080"/>
      <w:u w:val="single"/>
    </w:rPr>
  </w:style>
  <w:style w:type="paragraph" w:styleId="af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TableNormal0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zmy4pyd4Vh86vmmjdKwQc7nMtvQ==">AMUW2mVSkUjv648KRJJifa1fNapTtXkjnSkRjX4N3/jbnAoG1ObYx9jW+X/aTlhmfrdqfv5g/1KLvuQy75moKtda4U7Cqb1RQbf8bVz8xzAhf7HFX3y6ZY78qHAt3hylMWwvLsWk56hUhG0dxjXk6yGVtcRnQceUQw==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3E77BDF-0842-4D5E-A566-992575174D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EE9503-20CD-43CE-8E88-CD81E5CF0B0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5233B0-D575-48CE-B8FC-6FEBC1300D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2458</Words>
  <Characters>1402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2021-12-28T15:49:00Z</dcterms:created>
  <dcterms:modified xsi:type="dcterms:W3CDTF">2021-12-28T15:49:00Z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