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46784" w:rsidRDefault="00646784">
      <w:pPr>
        <w:pStyle w:val="2"/>
        <w:pageBreakBefore/>
        <w:jc w:val="center"/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t>ПОЯСНЮВАЛЬНА ЗАПИСКА</w:t>
      </w:r>
    </w:p>
    <w:p w:rsidR="00646784" w:rsidRDefault="00646784">
      <w:pPr>
        <w:pStyle w:val="2"/>
        <w:jc w:val="center"/>
        <w:rPr>
          <w:b/>
          <w:sz w:val="28"/>
        </w:rPr>
      </w:pPr>
      <w:r>
        <w:rPr>
          <w:b/>
          <w:sz w:val="28"/>
        </w:rPr>
        <w:t>до проєкту Закону України «Про приєднання України до Конвенції про транскордонний вплив промислових аварій»</w:t>
      </w:r>
    </w:p>
    <w:p w:rsidR="00646784" w:rsidRDefault="00646784">
      <w:pPr>
        <w:pStyle w:val="2"/>
        <w:jc w:val="center"/>
        <w:rPr>
          <w:b/>
          <w:sz w:val="28"/>
        </w:rPr>
      </w:pPr>
    </w:p>
    <w:p w:rsidR="00646784" w:rsidRDefault="00646784">
      <w:pPr>
        <w:pStyle w:val="12"/>
        <w:spacing w:before="0"/>
        <w:ind w:firstLine="709"/>
        <w:jc w:val="both"/>
        <w:rPr>
          <w:sz w:val="28"/>
        </w:rPr>
      </w:pPr>
      <w:r>
        <w:rPr>
          <w:b/>
          <w:sz w:val="28"/>
        </w:rPr>
        <w:t xml:space="preserve">1. </w:t>
      </w:r>
      <w:r>
        <w:rPr>
          <w:b/>
          <w:color w:val="1D1D1B"/>
          <w:sz w:val="28"/>
          <w:shd w:val="clear" w:color="auto" w:fill="FFFFFF"/>
        </w:rPr>
        <w:t>Мета</w:t>
      </w:r>
    </w:p>
    <w:p w:rsidR="00646784" w:rsidRDefault="00646784">
      <w:pPr>
        <w:pStyle w:val="a3"/>
        <w:ind w:firstLine="709"/>
        <w:jc w:val="both"/>
      </w:pPr>
      <w:r>
        <w:t xml:space="preserve">Метою прийняття проєкту Закону України «Про приєднання України до Конвенції про транскордонний вплив промислових аварій» (далі – </w:t>
      </w:r>
      <w:r w:rsidR="005A6335">
        <w:t xml:space="preserve">              </w:t>
      </w:r>
      <w:r>
        <w:t>законопроєкт) є забезпечення відповідності критеріям членства в Європейському Союзі.</w:t>
      </w:r>
    </w:p>
    <w:p w:rsidR="00646784" w:rsidRDefault="00646784">
      <w:pPr>
        <w:pStyle w:val="12"/>
      </w:pPr>
    </w:p>
    <w:p w:rsidR="00646784" w:rsidRPr="000D7A80" w:rsidRDefault="00646784">
      <w:pPr>
        <w:pStyle w:val="12"/>
        <w:spacing w:before="0"/>
        <w:ind w:firstLine="709"/>
        <w:jc w:val="both"/>
        <w:rPr>
          <w:b/>
          <w:sz w:val="28"/>
          <w:shd w:val="clear" w:color="auto" w:fill="FFFFFF"/>
          <w:lang w:val="ru-RU"/>
        </w:rPr>
      </w:pPr>
      <w:r>
        <w:rPr>
          <w:b/>
          <w:sz w:val="28"/>
        </w:rPr>
        <w:t xml:space="preserve">2. </w:t>
      </w:r>
      <w:r>
        <w:rPr>
          <w:b/>
          <w:sz w:val="28"/>
          <w:shd w:val="clear" w:color="auto" w:fill="FFFFFF"/>
        </w:rPr>
        <w:t>Обґрунтування необхідності прийняття акта</w:t>
      </w:r>
    </w:p>
    <w:p w:rsidR="00646784" w:rsidRPr="000D7A80" w:rsidRDefault="000D7A80">
      <w:pPr>
        <w:pStyle w:val="12"/>
        <w:widowControl w:val="0"/>
        <w:spacing w:before="0"/>
        <w:ind w:firstLine="709"/>
        <w:jc w:val="both"/>
        <w:rPr>
          <w:sz w:val="28"/>
        </w:rPr>
      </w:pPr>
      <w:r>
        <w:rPr>
          <w:sz w:val="28"/>
        </w:rPr>
        <w:t>Законопроєкт розробила Державна служба</w:t>
      </w:r>
      <w:r w:rsidR="00646784">
        <w:rPr>
          <w:sz w:val="28"/>
        </w:rPr>
        <w:t xml:space="preserve"> України з надзвичайних ситуацій на виконання доручення Кабінету Міністрів України від 11.07.2018     </w:t>
      </w:r>
      <w:r w:rsidR="005A6335">
        <w:rPr>
          <w:sz w:val="28"/>
        </w:rPr>
        <w:t xml:space="preserve">                  </w:t>
      </w:r>
      <w:r w:rsidR="00646784">
        <w:rPr>
          <w:sz w:val="28"/>
        </w:rPr>
        <w:t>№ 51516/15/1-17 стосовно приєднання України до Конвенції про транскордонний вплив промислових аварій, та відповідно до статті 4 Закону України «Про міжнародні договори України».</w:t>
      </w:r>
    </w:p>
    <w:p w:rsidR="00646784" w:rsidRDefault="00646784">
      <w:pPr>
        <w:pStyle w:val="a3"/>
        <w:ind w:firstLine="709"/>
        <w:jc w:val="both"/>
      </w:pPr>
      <w:r>
        <w:t xml:space="preserve">Прийняття законопроєкту сприятиме удосконаленню системи запобігання, підготовки, реагування та ліквідації наслідків промислових аварій транскордонного характеру, можливості отримання допомоги у рамках </w:t>
      </w:r>
      <w:r w:rsidR="005A6335">
        <w:t xml:space="preserve">     </w:t>
      </w:r>
      <w:r>
        <w:t xml:space="preserve">Конвенції щодо збільшення потенціалу України та обміну досвідом у цих </w:t>
      </w:r>
      <w:r w:rsidR="005A6335">
        <w:t xml:space="preserve">                           </w:t>
      </w:r>
      <w:r>
        <w:t xml:space="preserve">сферах і використання Конвенції як додаткового правового механізму для </w:t>
      </w:r>
      <w:r w:rsidR="005A6335">
        <w:t xml:space="preserve">                        </w:t>
      </w:r>
      <w:r>
        <w:t>вирішення питань стосовно впливу аварій, які сталися на території сусідньої країни, але наслідки яких поширилися на територію України.</w:t>
      </w:r>
    </w:p>
    <w:p w:rsidR="00646784" w:rsidRDefault="00646784">
      <w:pPr>
        <w:pStyle w:val="12"/>
      </w:pPr>
    </w:p>
    <w:p w:rsidR="00646784" w:rsidRDefault="00646784">
      <w:pPr>
        <w:pStyle w:val="12"/>
        <w:spacing w:before="0"/>
        <w:ind w:firstLine="709"/>
        <w:jc w:val="both"/>
        <w:rPr>
          <w:sz w:val="28"/>
        </w:rPr>
      </w:pPr>
      <w:r>
        <w:rPr>
          <w:b/>
          <w:sz w:val="28"/>
        </w:rPr>
        <w:t xml:space="preserve">3. </w:t>
      </w:r>
      <w:r>
        <w:rPr>
          <w:b/>
          <w:sz w:val="28"/>
          <w:shd w:val="clear" w:color="auto" w:fill="FFFFFF"/>
        </w:rPr>
        <w:t>Основні положення проєкту акта</w:t>
      </w:r>
    </w:p>
    <w:p w:rsidR="00646784" w:rsidRDefault="00646784" w:rsidP="000D7A80">
      <w:pPr>
        <w:pStyle w:val="a3"/>
        <w:ind w:firstLine="709"/>
        <w:jc w:val="both"/>
      </w:pPr>
      <w:r>
        <w:t>Законопроєктом передбачено надання Верховною Радою України згоди на обов’язковість для України Конвенції у формі Закону про приєднання.</w:t>
      </w:r>
    </w:p>
    <w:p w:rsidR="000D7A80" w:rsidRPr="000D7A80" w:rsidRDefault="000D7A80" w:rsidP="000D7A80">
      <w:pPr>
        <w:pStyle w:val="12"/>
      </w:pPr>
    </w:p>
    <w:p w:rsidR="00646784" w:rsidRPr="000D7A80" w:rsidRDefault="00646784">
      <w:pPr>
        <w:pStyle w:val="12"/>
        <w:ind w:left="709"/>
        <w:rPr>
          <w:b/>
          <w:sz w:val="28"/>
          <w:shd w:val="clear" w:color="auto" w:fill="FFFFFF"/>
        </w:rPr>
      </w:pPr>
      <w:r>
        <w:rPr>
          <w:b/>
          <w:sz w:val="28"/>
          <w:shd w:val="clear" w:color="auto" w:fill="FFFFFF"/>
        </w:rPr>
        <w:t>4. Правові аспекти</w:t>
      </w:r>
    </w:p>
    <w:p w:rsidR="00646784" w:rsidRDefault="00646784">
      <w:pPr>
        <w:pStyle w:val="32"/>
        <w:spacing w:after="0"/>
        <w:ind w:firstLine="680"/>
        <w:jc w:val="both"/>
        <w:rPr>
          <w:b/>
          <w:spacing w:val="-6"/>
          <w:sz w:val="28"/>
        </w:rPr>
      </w:pPr>
      <w:r>
        <w:rPr>
          <w:sz w:val="28"/>
        </w:rPr>
        <w:t xml:space="preserve">Правовими підставами для розроблення законопроєкту є </w:t>
      </w:r>
      <w:r>
        <w:rPr>
          <w:spacing w:val="-6"/>
          <w:sz w:val="28"/>
        </w:rPr>
        <w:t>Конституція України</w:t>
      </w:r>
      <w:r>
        <w:rPr>
          <w:sz w:val="28"/>
        </w:rPr>
        <w:t>, Закон України «Про міжнародні договори України» та постанова Кабінету Міністрів України від 16 грудня 2015 р. № 1052 «Про затвердження Положення про Державну службу України з надзвичайних ситуацій».</w:t>
      </w:r>
    </w:p>
    <w:p w:rsidR="00646784" w:rsidRDefault="000D7A80">
      <w:pPr>
        <w:pStyle w:val="15"/>
        <w:ind w:firstLine="680"/>
        <w:rPr>
          <w:spacing w:val="-6"/>
        </w:rPr>
      </w:pPr>
      <w:r>
        <w:rPr>
          <w:color w:val="000000"/>
        </w:rPr>
        <w:t>У цій сфері правового регулювання діє</w:t>
      </w:r>
      <w:r w:rsidR="00646784">
        <w:rPr>
          <w:spacing w:val="-6"/>
        </w:rPr>
        <w:t xml:space="preserve"> Кодекс цивільного захисту України, Закон України «Про охорону навколишнього природного середовища», Закон України «Про об’єкти підвищеної небезпеки», Закон України «Про регулювання містобудівної діяльності», </w:t>
      </w:r>
      <w:r w:rsidR="00646784">
        <w:t>постанова Кабінету Міністрів України від 11 липня 2002 р. № 956 «Про ідентифікацію та декларування безпеки об’єктів підвищеної небезпеки».</w:t>
      </w:r>
    </w:p>
    <w:p w:rsidR="00646784" w:rsidRPr="000D7A80" w:rsidRDefault="00646784">
      <w:pPr>
        <w:pStyle w:val="12"/>
        <w:widowControl w:val="0"/>
        <w:spacing w:before="0"/>
        <w:jc w:val="both"/>
        <w:rPr>
          <w:sz w:val="32"/>
          <w:szCs w:val="32"/>
        </w:rPr>
      </w:pPr>
    </w:p>
    <w:p w:rsidR="000D7A80" w:rsidRPr="000D7A80" w:rsidRDefault="00646784" w:rsidP="000D7A80">
      <w:pPr>
        <w:pStyle w:val="12"/>
        <w:spacing w:before="0"/>
        <w:ind w:firstLine="709"/>
        <w:jc w:val="both"/>
        <w:rPr>
          <w:sz w:val="28"/>
        </w:rPr>
      </w:pPr>
      <w:r>
        <w:rPr>
          <w:b/>
          <w:sz w:val="28"/>
        </w:rPr>
        <w:t xml:space="preserve">5. </w:t>
      </w:r>
      <w:r>
        <w:rPr>
          <w:b/>
          <w:sz w:val="28"/>
          <w:shd w:val="clear" w:color="auto" w:fill="FFFFFF"/>
        </w:rPr>
        <w:t>Фінансово-економічне обґрунтування</w:t>
      </w:r>
    </w:p>
    <w:p w:rsidR="00646784" w:rsidRDefault="00646784">
      <w:pPr>
        <w:pStyle w:val="a3"/>
        <w:ind w:firstLine="709"/>
        <w:jc w:val="both"/>
      </w:pPr>
      <w:r>
        <w:t>Реалізація законопроєкту не потребує будь-якого фінансування з д</w:t>
      </w:r>
      <w:r w:rsidR="000D7A80">
        <w:t>ержавного чи місцевого бюджетів</w:t>
      </w:r>
      <w:r>
        <w:t xml:space="preserve">. </w:t>
      </w:r>
    </w:p>
    <w:p w:rsidR="00646784" w:rsidRDefault="00646784">
      <w:pPr>
        <w:pStyle w:val="a3"/>
        <w:ind w:firstLine="709"/>
        <w:jc w:val="both"/>
      </w:pPr>
      <w:r>
        <w:lastRenderedPageBreak/>
        <w:t>Участь України у Конвенції не передбачає здійснення обов’язкових внесків та будь-яких інших регулярних платежів.</w:t>
      </w:r>
    </w:p>
    <w:p w:rsidR="00646784" w:rsidRDefault="00646784">
      <w:pPr>
        <w:pStyle w:val="12"/>
      </w:pPr>
    </w:p>
    <w:p w:rsidR="00646784" w:rsidRDefault="00646784" w:rsidP="005A6335">
      <w:pPr>
        <w:pStyle w:val="12"/>
        <w:spacing w:before="0"/>
        <w:ind w:firstLine="567"/>
        <w:jc w:val="both"/>
        <w:rPr>
          <w:sz w:val="28"/>
        </w:rPr>
      </w:pPr>
      <w:r>
        <w:rPr>
          <w:b/>
          <w:sz w:val="28"/>
        </w:rPr>
        <w:t>6. Позиція заінтересованих сторін</w:t>
      </w:r>
    </w:p>
    <w:p w:rsidR="000D7A80" w:rsidRPr="000D7A80" w:rsidRDefault="000D7A80" w:rsidP="000D7A80">
      <w:pPr>
        <w:shd w:val="clear" w:color="auto" w:fill="FFFFFF"/>
        <w:ind w:firstLine="567"/>
        <w:jc w:val="both"/>
        <w:rPr>
          <w:lang w:val="uk-UA"/>
        </w:rPr>
      </w:pPr>
      <w:r w:rsidRPr="000D7A80">
        <w:rPr>
          <w:color w:val="000000"/>
          <w:sz w:val="28"/>
          <w:lang w:val="uk-UA"/>
        </w:rPr>
        <w:t>Проєкт Закону</w:t>
      </w:r>
      <w:r w:rsidRPr="000D7A80">
        <w:rPr>
          <w:sz w:val="28"/>
          <w:lang w:val="uk-UA"/>
        </w:rPr>
        <w:t xml:space="preserve">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функціонування і застосування української мови як державної.</w:t>
      </w:r>
    </w:p>
    <w:p w:rsidR="000D7A80" w:rsidRDefault="000D7A80" w:rsidP="000D7A80">
      <w:pPr>
        <w:shd w:val="clear" w:color="auto" w:fill="FFFFFF"/>
        <w:ind w:firstLine="680"/>
        <w:jc w:val="both"/>
      </w:pPr>
      <w:r>
        <w:rPr>
          <w:color w:val="000000"/>
          <w:sz w:val="28"/>
        </w:rPr>
        <w:t>Проєкт Закону</w:t>
      </w:r>
      <w:r>
        <w:rPr>
          <w:sz w:val="28"/>
        </w:rPr>
        <w:t xml:space="preserve"> не стосується сфери наукової та науково-технічної діяльності та на розгляд Наукового комітету Національної ради з питань розвитку науки і технологій не надсилався. </w:t>
      </w:r>
    </w:p>
    <w:p w:rsidR="00646784" w:rsidRPr="000D7A80" w:rsidRDefault="00646784">
      <w:pPr>
        <w:pStyle w:val="2"/>
        <w:ind w:firstLine="680"/>
        <w:jc w:val="both"/>
        <w:rPr>
          <w:sz w:val="28"/>
          <w:lang w:val="ru-RU"/>
        </w:rPr>
      </w:pPr>
    </w:p>
    <w:p w:rsidR="00646784" w:rsidRPr="000D7A80" w:rsidRDefault="00646784">
      <w:pPr>
        <w:pStyle w:val="12"/>
        <w:spacing w:before="0"/>
        <w:ind w:firstLine="709"/>
        <w:jc w:val="both"/>
        <w:rPr>
          <w:b/>
          <w:sz w:val="28"/>
          <w:shd w:val="clear" w:color="auto" w:fill="FFFFFF"/>
          <w:lang w:val="ru-RU"/>
        </w:rPr>
      </w:pPr>
      <w:r>
        <w:rPr>
          <w:b/>
          <w:sz w:val="28"/>
          <w:shd w:val="clear" w:color="auto" w:fill="FFFFFF"/>
        </w:rPr>
        <w:t>7. Оцінка відповідності</w:t>
      </w:r>
    </w:p>
    <w:p w:rsidR="00646784" w:rsidRPr="000D7A80" w:rsidRDefault="00646784" w:rsidP="005A6335">
      <w:pPr>
        <w:pStyle w:val="18"/>
        <w:ind w:firstLine="709"/>
        <w:jc w:val="both"/>
        <w:rPr>
          <w:lang w:val="ru-RU"/>
        </w:rPr>
      </w:pPr>
      <w:r>
        <w:t>В законодавстві ЄС положення Конвенції реалізує Директива 2012/18/ЄС Європейського Парламенту і Ради від 4 липня 2012 року про контроль загроз виникнення значних аварій, пов’язаних із використанням небезпечних речовин, та про внесення змін і подальше скасування Директиви Ради 96/82/ЄС</w:t>
      </w:r>
      <w:r w:rsidR="005A6335">
        <w:t xml:space="preserve">                    </w:t>
      </w:r>
      <w:r>
        <w:t xml:space="preserve"> (СЕВЕЗО ІІІ).</w:t>
      </w:r>
    </w:p>
    <w:p w:rsidR="005A6335" w:rsidRDefault="00646784">
      <w:pPr>
        <w:pStyle w:val="rvps2"/>
        <w:shd w:val="clear" w:color="auto" w:fill="FFFFFF"/>
        <w:spacing w:before="0" w:after="0"/>
        <w:ind w:firstLine="709"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У </w:t>
      </w:r>
      <w:r w:rsidR="005A6335">
        <w:rPr>
          <w:sz w:val="28"/>
          <w:lang w:val="uk-UA"/>
        </w:rPr>
        <w:t>проєкті Закону відсутні положення</w:t>
      </w:r>
      <w:r w:rsidR="005A6335">
        <w:rPr>
          <w:color w:val="000000"/>
          <w:sz w:val="28"/>
          <w:lang w:val="uk-UA"/>
        </w:rPr>
        <w:t xml:space="preserve">, що: </w:t>
      </w:r>
    </w:p>
    <w:p w:rsidR="005A6335" w:rsidRDefault="005A6335">
      <w:pPr>
        <w:pStyle w:val="rvps2"/>
        <w:shd w:val="clear" w:color="auto" w:fill="FFFFFF"/>
        <w:spacing w:before="0" w:after="0"/>
        <w:ind w:firstLine="709"/>
        <w:jc w:val="both"/>
        <w:rPr>
          <w:color w:val="000000"/>
          <w:sz w:val="28"/>
          <w:lang w:val="uk-UA"/>
        </w:rPr>
      </w:pPr>
      <w:r>
        <w:rPr>
          <w:color w:val="000000"/>
          <w:sz w:val="28"/>
          <w:lang w:val="uk-UA"/>
        </w:rPr>
        <w:t>стосуються прав та свобод, гарантованих Конвенц</w:t>
      </w:r>
      <w:r w:rsidR="0074605E">
        <w:rPr>
          <w:color w:val="000000"/>
          <w:sz w:val="28"/>
          <w:lang w:val="uk-UA"/>
        </w:rPr>
        <w:t>ією про захист прав людини і ос</w:t>
      </w:r>
      <w:r>
        <w:rPr>
          <w:color w:val="000000"/>
          <w:sz w:val="28"/>
          <w:lang w:val="uk-UA"/>
        </w:rPr>
        <w:t>новоположних свобод;</w:t>
      </w:r>
    </w:p>
    <w:p w:rsidR="00646784" w:rsidRDefault="005A6335">
      <w:pPr>
        <w:pStyle w:val="rvps2"/>
        <w:shd w:val="clear" w:color="auto" w:fill="FFFFFF"/>
        <w:spacing w:before="0" w:after="0"/>
        <w:ind w:firstLine="709"/>
        <w:jc w:val="both"/>
        <w:rPr>
          <w:color w:val="000000"/>
          <w:sz w:val="28"/>
          <w:lang w:val="uk-UA"/>
        </w:rPr>
      </w:pPr>
      <w:r>
        <w:rPr>
          <w:color w:val="000000"/>
          <w:sz w:val="28"/>
          <w:lang w:val="uk-UA"/>
        </w:rPr>
        <w:t>впливають на</w:t>
      </w:r>
      <w:r w:rsidR="00646784">
        <w:rPr>
          <w:color w:val="000000"/>
          <w:sz w:val="28"/>
          <w:lang w:val="uk-UA"/>
        </w:rPr>
        <w:t xml:space="preserve"> забезпечення рівних прав та можливостей жінок і чоловіків</w:t>
      </w:r>
      <w:r>
        <w:rPr>
          <w:color w:val="000000"/>
          <w:sz w:val="28"/>
          <w:lang w:val="uk-UA"/>
        </w:rPr>
        <w:t>;</w:t>
      </w:r>
    </w:p>
    <w:p w:rsidR="00646784" w:rsidRPr="000D7A80" w:rsidRDefault="00646784">
      <w:pPr>
        <w:pStyle w:val="12"/>
        <w:widowControl w:val="0"/>
        <w:spacing w:before="0"/>
        <w:ind w:firstLine="680"/>
        <w:jc w:val="both"/>
        <w:rPr>
          <w:sz w:val="28"/>
          <w:lang w:val="ru-RU"/>
        </w:rPr>
      </w:pPr>
      <w:r>
        <w:rPr>
          <w:sz w:val="28"/>
        </w:rPr>
        <w:t>міст</w:t>
      </w:r>
      <w:r w:rsidR="005A6335">
        <w:rPr>
          <w:sz w:val="28"/>
        </w:rPr>
        <w:t>ять</w:t>
      </w:r>
      <w:r>
        <w:rPr>
          <w:sz w:val="28"/>
        </w:rPr>
        <w:t xml:space="preserve"> ризики вчинення корупційних правопорушень</w:t>
      </w:r>
      <w:r w:rsidR="005A6335">
        <w:rPr>
          <w:sz w:val="28"/>
        </w:rPr>
        <w:t xml:space="preserve"> та правопорушень, пов'язаних з корупцією</w:t>
      </w:r>
      <w:r>
        <w:rPr>
          <w:sz w:val="28"/>
        </w:rPr>
        <w:t>.</w:t>
      </w:r>
    </w:p>
    <w:p w:rsidR="00646784" w:rsidRPr="000D7A80" w:rsidRDefault="0074605E">
      <w:pPr>
        <w:pStyle w:val="2"/>
        <w:ind w:firstLine="680"/>
        <w:jc w:val="both"/>
        <w:rPr>
          <w:sz w:val="28"/>
          <w:lang w:val="ru-RU"/>
        </w:rPr>
      </w:pPr>
      <w:r>
        <w:rPr>
          <w:sz w:val="28"/>
        </w:rPr>
        <w:t>ДСНС надсилала проєкт Закону листом від 09.06.2021 № 26-9819/262-1 до Національного агентства з питань запобігання корупції для визначення необхідності проведення антикорупційної експертизи (вхідний НАЗК                               № 03/47299/21 від 09.06.2021).</w:t>
      </w:r>
    </w:p>
    <w:p w:rsidR="00646784" w:rsidRPr="000D7A80" w:rsidRDefault="00646784">
      <w:pPr>
        <w:pStyle w:val="12"/>
        <w:spacing w:before="0"/>
        <w:jc w:val="both"/>
        <w:rPr>
          <w:b/>
          <w:sz w:val="28"/>
          <w:lang w:val="ru-RU"/>
        </w:rPr>
      </w:pPr>
    </w:p>
    <w:p w:rsidR="00646784" w:rsidRPr="000D7A80" w:rsidRDefault="00646784">
      <w:pPr>
        <w:pStyle w:val="12"/>
        <w:widowControl w:val="0"/>
        <w:spacing w:before="0"/>
        <w:ind w:firstLine="709"/>
        <w:jc w:val="both"/>
        <w:rPr>
          <w:b/>
          <w:sz w:val="28"/>
          <w:shd w:val="clear" w:color="auto" w:fill="FFFFFF"/>
          <w:lang w:val="ru-RU"/>
        </w:rPr>
      </w:pPr>
      <w:r>
        <w:rPr>
          <w:b/>
          <w:sz w:val="28"/>
          <w:shd w:val="clear" w:color="auto" w:fill="FFFFFF"/>
        </w:rPr>
        <w:t>8. Прогноз результатів</w:t>
      </w:r>
    </w:p>
    <w:p w:rsidR="00646784" w:rsidRDefault="00646784">
      <w:pPr>
        <w:pStyle w:val="12"/>
        <w:widowControl w:val="0"/>
        <w:spacing w:before="0"/>
        <w:ind w:firstLine="680"/>
        <w:jc w:val="both"/>
      </w:pPr>
      <w:r>
        <w:rPr>
          <w:sz w:val="28"/>
        </w:rPr>
        <w:t xml:space="preserve">Прийняття законопроєкту надасть можливість Україні стати стороною Конвенції, що сприятиме удосконаленню системи запобігання, підготовки та реагування на транскордонні промислові аварії, а також обміну передовим досвідом у цій сфері. </w:t>
      </w:r>
    </w:p>
    <w:p w:rsidR="00646784" w:rsidRPr="000D7A80" w:rsidRDefault="00646784">
      <w:pPr>
        <w:pStyle w:val="12"/>
        <w:widowControl w:val="0"/>
        <w:spacing w:before="0"/>
        <w:jc w:val="both"/>
        <w:rPr>
          <w:sz w:val="28"/>
          <w:lang w:val="ru-RU"/>
        </w:rPr>
      </w:pPr>
    </w:p>
    <w:p w:rsidR="00646784" w:rsidRDefault="00646784" w:rsidP="000D7A80">
      <w:pPr>
        <w:pStyle w:val="12"/>
        <w:widowControl w:val="0"/>
        <w:spacing w:before="0"/>
        <w:jc w:val="both"/>
        <w:rPr>
          <w:lang w:val="ru-RU"/>
        </w:rPr>
      </w:pPr>
    </w:p>
    <w:tbl>
      <w:tblPr>
        <w:tblW w:w="9645" w:type="dxa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4770"/>
        <w:gridCol w:w="4875"/>
      </w:tblGrid>
      <w:tr w:rsidR="00646784" w:rsidRPr="000D7A80" w:rsidTr="000D7A80">
        <w:trPr>
          <w:tblCellSpacing w:w="0" w:type="dxa"/>
        </w:trPr>
        <w:tc>
          <w:tcPr>
            <w:tcW w:w="4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0" w:type="dxa"/>
            </w:tcMar>
            <w:hideMark/>
          </w:tcPr>
          <w:p w:rsidR="00646784" w:rsidRPr="000D7A80" w:rsidRDefault="00646784" w:rsidP="000D7A80">
            <w:pPr>
              <w:suppressAutoHyphens/>
              <w:spacing w:beforeAutospacing="1" w:after="119" w:line="276" w:lineRule="auto"/>
              <w:rPr>
                <w:b/>
                <w:color w:val="000000"/>
                <w:sz w:val="28"/>
              </w:rPr>
            </w:pPr>
            <w:r w:rsidRPr="000D7A80">
              <w:rPr>
                <w:b/>
                <w:color w:val="000000"/>
                <w:sz w:val="28"/>
              </w:rPr>
              <w:t>Міністр внутрішніх справ України</w:t>
            </w:r>
          </w:p>
        </w:tc>
        <w:tc>
          <w:tcPr>
            <w:tcW w:w="4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0" w:type="dxa"/>
            </w:tcMar>
            <w:hideMark/>
          </w:tcPr>
          <w:p w:rsidR="00646784" w:rsidRPr="000D7A80" w:rsidRDefault="000D7A80" w:rsidP="000D7A80">
            <w:pPr>
              <w:suppressAutoHyphens/>
              <w:spacing w:beforeAutospacing="1" w:after="119" w:line="276" w:lineRule="auto"/>
              <w:ind w:firstLine="680"/>
              <w:jc w:val="right"/>
              <w:rPr>
                <w:b/>
                <w:color w:val="000000"/>
                <w:sz w:val="28"/>
                <w:lang w:val="uk-UA"/>
              </w:rPr>
            </w:pPr>
            <w:r w:rsidRPr="000D7A80">
              <w:rPr>
                <w:b/>
                <w:color w:val="000000"/>
                <w:sz w:val="28"/>
                <w:lang w:val="uk-UA"/>
              </w:rPr>
              <w:t>Денис МОНАСТИРСЬКИЙ</w:t>
            </w:r>
          </w:p>
        </w:tc>
      </w:tr>
      <w:tr w:rsidR="00646784" w:rsidRPr="000D7A80" w:rsidTr="000D7A80">
        <w:trPr>
          <w:tblCellSpacing w:w="0" w:type="dxa"/>
        </w:trPr>
        <w:tc>
          <w:tcPr>
            <w:tcW w:w="95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bottom w:w="0" w:type="dxa"/>
              <w:right w:w="0" w:type="dxa"/>
            </w:tcMar>
            <w:vAlign w:val="center"/>
            <w:hideMark/>
          </w:tcPr>
          <w:p w:rsidR="00646784" w:rsidRPr="000D7A80" w:rsidRDefault="00646784" w:rsidP="000D7A80">
            <w:pPr>
              <w:suppressAutoHyphens/>
              <w:spacing w:beforeAutospacing="1" w:after="119" w:line="276" w:lineRule="auto"/>
              <w:rPr>
                <w:color w:val="000000"/>
                <w:sz w:val="28"/>
              </w:rPr>
            </w:pPr>
          </w:p>
        </w:tc>
      </w:tr>
    </w:tbl>
    <w:p w:rsidR="00646784" w:rsidRDefault="00646784">
      <w:pPr>
        <w:pStyle w:val="2"/>
      </w:pPr>
    </w:p>
    <w:sectPr w:rsidR="00646784" w:rsidSect="000D7A80">
      <w:headerReference w:type="default" r:id="rId7"/>
      <w:pgSz w:w="11906" w:h="16838"/>
      <w:pgMar w:top="1134" w:right="567" w:bottom="1560" w:left="1701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CB1" w:rsidRDefault="007B4CB1" w:rsidP="000D7A80">
      <w:r>
        <w:separator/>
      </w:r>
    </w:p>
  </w:endnote>
  <w:endnote w:type="continuationSeparator" w:id="0">
    <w:p w:rsidR="007B4CB1" w:rsidRDefault="007B4CB1" w:rsidP="000D7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UkrainianBaltica">
    <w:charset w:val="CC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CB1" w:rsidRDefault="007B4CB1" w:rsidP="000D7A80">
      <w:r>
        <w:separator/>
      </w:r>
    </w:p>
  </w:footnote>
  <w:footnote w:type="continuationSeparator" w:id="0">
    <w:p w:rsidR="007B4CB1" w:rsidRDefault="007B4CB1" w:rsidP="000D7A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7A80" w:rsidRDefault="000D7A80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E48F9">
      <w:rPr>
        <w:noProof/>
      </w:rPr>
      <w:t>2</w:t>
    </w:r>
    <w:r>
      <w:fldChar w:fldCharType="end"/>
    </w:r>
  </w:p>
  <w:p w:rsidR="000D7A80" w:rsidRDefault="000D7A80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47E47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DFEF0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C10314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F30EF1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3C0C2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E22B9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BA0B20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9DC52D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D865F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C92D4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3A7D91A"/>
    <w:lvl w:ilvl="0">
      <w:start w:val="1"/>
      <w:numFmt w:val="none"/>
      <w:pStyle w:val="1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1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1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pStyle w:val="51"/>
      <w:lvlText w:val="%5."/>
      <w:lvlJc w:val="left"/>
      <w:pPr>
        <w:tabs>
          <w:tab w:val="num" w:pos="0"/>
        </w:tabs>
        <w:ind w:left="0" w:firstLine="680"/>
      </w:pPr>
    </w:lvl>
    <w:lvl w:ilvl="5">
      <w:start w:val="1"/>
      <w:numFmt w:val="decimal"/>
      <w:pStyle w:val="61"/>
      <w:lvlText w:val="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pStyle w:val="71"/>
      <w:lvlText w:val="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pStyle w:val="81"/>
      <w:lvlText w:val="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pStyle w:val="91"/>
      <w:lvlText w:val="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isplayBackgroundShape/>
  <w:embedSystemFonts/>
  <w:bordersDoNotSurroundHeader/>
  <w:bordersDoNotSurroundFooter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stylePaneSortMethod w:val="0000"/>
  <w:defaultTabStop w:val="720"/>
  <w:hyphenationZone w:val="425"/>
  <w:defaultTableStyle w:val="a"/>
  <w:drawingGridHorizontalSpacing w:val="110"/>
  <w:drawingGridVerticalSpacing w:val="0"/>
  <w:displayHorizontalDrawingGridEvery w:val="0"/>
  <w:displayVerticalDrawingGridEvery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A80"/>
    <w:rsid w:val="000330C8"/>
    <w:rsid w:val="000D7A80"/>
    <w:rsid w:val="005A6335"/>
    <w:rsid w:val="00646784"/>
    <w:rsid w:val="0074605E"/>
    <w:rsid w:val="007B4CB1"/>
    <w:rsid w:val="00FE4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9" w:qFormat="1"/>
    <w:lsdException w:name="footnote text" w:uiPriority="9" w:qFormat="1"/>
    <w:lsdException w:name="annotation text" w:uiPriority="9" w:qFormat="1"/>
    <w:lsdException w:name="header" w:qFormat="1"/>
    <w:lsdException w:name="footer" w:uiPriority="9" w:qFormat="1"/>
    <w:lsdException w:name="index heading" w:uiPriority="9" w:qFormat="1"/>
    <w:lsdException w:name="caption" w:semiHidden="1" w:uiPriority="9" w:unhideWhenUsed="1" w:qFormat="1"/>
    <w:lsdException w:name="table of figures" w:uiPriority="9" w:qFormat="1"/>
    <w:lsdException w:name="envelope address" w:uiPriority="9" w:qFormat="1"/>
    <w:lsdException w:name="envelope return" w:uiPriority="9" w:qFormat="1"/>
    <w:lsdException w:name="footnote reference" w:uiPriority="9" w:qFormat="1"/>
    <w:lsdException w:name="annotation reference" w:uiPriority="9" w:qFormat="1"/>
    <w:lsdException w:name="line number" w:uiPriority="9" w:qFormat="1"/>
    <w:lsdException w:name="page number" w:uiPriority="9" w:qFormat="1"/>
    <w:lsdException w:name="endnote reference" w:uiPriority="9" w:qFormat="1"/>
    <w:lsdException w:name="endnote text" w:uiPriority="9" w:qFormat="1"/>
    <w:lsdException w:name="table of authorities" w:uiPriority="9" w:qFormat="1"/>
    <w:lsdException w:name="macro" w:uiPriority="9" w:qFormat="1"/>
    <w:lsdException w:name="toa heading" w:uiPriority="9" w:qFormat="1"/>
    <w:lsdException w:name="List" w:uiPriority="9" w:qFormat="1"/>
    <w:lsdException w:name="List Bullet" w:uiPriority="9" w:qFormat="1"/>
    <w:lsdException w:name="List Number" w:uiPriority="9" w:qFormat="1"/>
    <w:lsdException w:name="List 2" w:uiPriority="9" w:qFormat="1"/>
    <w:lsdException w:name="List 3" w:uiPriority="9" w:qFormat="1"/>
    <w:lsdException w:name="List 4" w:uiPriority="9" w:qFormat="1"/>
    <w:lsdException w:name="List 5" w:uiPriority="9" w:qFormat="1"/>
    <w:lsdException w:name="List Bullet 2" w:uiPriority="9" w:qFormat="1"/>
    <w:lsdException w:name="List Bullet 3" w:uiPriority="9" w:qFormat="1"/>
    <w:lsdException w:name="List Bullet 4" w:uiPriority="9" w:qFormat="1"/>
    <w:lsdException w:name="List Bullet 5" w:uiPriority="9" w:qFormat="1"/>
    <w:lsdException w:name="List Number 2" w:uiPriority="9" w:qFormat="1"/>
    <w:lsdException w:name="List Number 3" w:uiPriority="9" w:qFormat="1"/>
    <w:lsdException w:name="List Number 4" w:uiPriority="9" w:qFormat="1"/>
    <w:lsdException w:name="List Number 5" w:uiPriority="9" w:qFormat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Обычный2"/>
    <w:qFormat/>
    <w:pPr>
      <w:pBdr>
        <w:top w:val="nil"/>
        <w:left w:val="nil"/>
        <w:bottom w:val="nil"/>
        <w:right w:val="nil"/>
        <w:between w:val="nil"/>
      </w:pBdr>
      <w:suppressAutoHyphens/>
    </w:pPr>
    <w:rPr>
      <w:kern w:val="1"/>
      <w:lang w:eastAsia="ru-RU"/>
    </w:rPr>
  </w:style>
  <w:style w:type="paragraph" w:customStyle="1" w:styleId="1">
    <w:name w:val="Звичайний1"/>
    <w:pPr>
      <w:widowControl w:val="0"/>
      <w:pBdr>
        <w:top w:val="nil"/>
        <w:left w:val="nil"/>
        <w:bottom w:val="nil"/>
        <w:right w:val="nil"/>
        <w:between w:val="nil"/>
      </w:pBdr>
      <w:suppressAutoHyphens/>
    </w:pPr>
    <w:rPr>
      <w:rFonts w:ascii="Liberation Serif" w:eastAsia="Liberation Serif" w:hAnsi="Liberation Serif"/>
      <w:kern w:val="1"/>
      <w:sz w:val="24"/>
      <w:lang w:eastAsia="ru-RU"/>
    </w:rPr>
  </w:style>
  <w:style w:type="paragraph" w:customStyle="1" w:styleId="10">
    <w:name w:val="Обычный1"/>
    <w:pPr>
      <w:pBdr>
        <w:top w:val="nil"/>
        <w:left w:val="nil"/>
        <w:bottom w:val="nil"/>
        <w:right w:val="nil"/>
        <w:between w:val="nil"/>
      </w:pBdr>
      <w:suppressAutoHyphens/>
    </w:pPr>
    <w:rPr>
      <w:rFonts w:ascii="UkrainianBaltica" w:eastAsia="UkrainianBaltica" w:hAnsi="UkrainianBaltica"/>
      <w:kern w:val="1"/>
      <w:sz w:val="24"/>
      <w:lang w:eastAsia="ru-RU"/>
    </w:rPr>
  </w:style>
  <w:style w:type="paragraph" w:customStyle="1" w:styleId="11">
    <w:name w:val="Заголовок 11"/>
    <w:basedOn w:val="2"/>
    <w:next w:val="2"/>
    <w:qFormat/>
    <w:pPr>
      <w:keepNext/>
      <w:numPr>
        <w:numId w:val="1"/>
      </w:numPr>
      <w:outlineLvl w:val="0"/>
    </w:pPr>
    <w:rPr>
      <w:sz w:val="28"/>
    </w:rPr>
  </w:style>
  <w:style w:type="paragraph" w:customStyle="1" w:styleId="21">
    <w:name w:val="Заголовок 21"/>
    <w:basedOn w:val="2"/>
    <w:next w:val="2"/>
    <w:qFormat/>
    <w:pPr>
      <w:keepNext/>
      <w:numPr>
        <w:ilvl w:val="1"/>
        <w:numId w:val="1"/>
      </w:numPr>
      <w:ind w:firstLine="720"/>
      <w:jc w:val="both"/>
      <w:outlineLvl w:val="1"/>
    </w:pPr>
    <w:rPr>
      <w:sz w:val="28"/>
    </w:rPr>
  </w:style>
  <w:style w:type="paragraph" w:customStyle="1" w:styleId="31">
    <w:name w:val="Заголовок 31"/>
    <w:basedOn w:val="2"/>
    <w:next w:val="2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eastAsia="Arial" w:hAnsi="Arial"/>
      <w:b/>
      <w:sz w:val="26"/>
    </w:rPr>
  </w:style>
  <w:style w:type="paragraph" w:customStyle="1" w:styleId="51">
    <w:name w:val="Заголовок 51"/>
    <w:basedOn w:val="2"/>
    <w:next w:val="2"/>
    <w:qFormat/>
    <w:pPr>
      <w:numPr>
        <w:ilvl w:val="4"/>
        <w:numId w:val="1"/>
      </w:numPr>
      <w:tabs>
        <w:tab w:val="left" w:pos="680"/>
      </w:tabs>
      <w:spacing w:before="240" w:after="60"/>
      <w:outlineLvl w:val="4"/>
    </w:pPr>
    <w:rPr>
      <w:b/>
      <w:i/>
      <w:color w:val="000000"/>
      <w:sz w:val="26"/>
    </w:rPr>
  </w:style>
  <w:style w:type="paragraph" w:customStyle="1" w:styleId="61">
    <w:name w:val="Заголовок 61"/>
    <w:basedOn w:val="2"/>
    <w:next w:val="2"/>
    <w:qFormat/>
    <w:pPr>
      <w:numPr>
        <w:ilvl w:val="5"/>
        <w:numId w:val="1"/>
      </w:numPr>
      <w:tabs>
        <w:tab w:val="left" w:pos="-2056"/>
      </w:tabs>
      <w:spacing w:before="240" w:after="60"/>
      <w:outlineLvl w:val="5"/>
    </w:pPr>
    <w:rPr>
      <w:b/>
      <w:color w:val="000000"/>
      <w:sz w:val="22"/>
    </w:rPr>
  </w:style>
  <w:style w:type="paragraph" w:customStyle="1" w:styleId="71">
    <w:name w:val="Заголовок 71"/>
    <w:basedOn w:val="2"/>
    <w:next w:val="2"/>
    <w:qFormat/>
    <w:pPr>
      <w:numPr>
        <w:ilvl w:val="6"/>
        <w:numId w:val="1"/>
      </w:numPr>
      <w:tabs>
        <w:tab w:val="left" w:pos="-2560"/>
      </w:tabs>
      <w:spacing w:before="240" w:after="60"/>
      <w:outlineLvl w:val="6"/>
    </w:pPr>
    <w:rPr>
      <w:color w:val="000000"/>
      <w:sz w:val="24"/>
    </w:rPr>
  </w:style>
  <w:style w:type="paragraph" w:customStyle="1" w:styleId="81">
    <w:name w:val="Заголовок 81"/>
    <w:basedOn w:val="2"/>
    <w:next w:val="2"/>
    <w:qFormat/>
    <w:pPr>
      <w:numPr>
        <w:ilvl w:val="7"/>
        <w:numId w:val="1"/>
      </w:numPr>
      <w:tabs>
        <w:tab w:val="left" w:pos="-3064"/>
      </w:tabs>
      <w:spacing w:before="240" w:after="60"/>
      <w:outlineLvl w:val="7"/>
    </w:pPr>
    <w:rPr>
      <w:i/>
      <w:color w:val="000000"/>
      <w:sz w:val="24"/>
    </w:rPr>
  </w:style>
  <w:style w:type="paragraph" w:customStyle="1" w:styleId="91">
    <w:name w:val="Заголовок 91"/>
    <w:basedOn w:val="2"/>
    <w:next w:val="2"/>
    <w:qFormat/>
    <w:pPr>
      <w:numPr>
        <w:ilvl w:val="8"/>
        <w:numId w:val="1"/>
      </w:numPr>
      <w:tabs>
        <w:tab w:val="left" w:pos="-3640"/>
      </w:tabs>
      <w:spacing w:before="240" w:after="60"/>
      <w:outlineLvl w:val="8"/>
    </w:pPr>
    <w:rPr>
      <w:rFonts w:ascii="Arial" w:eastAsia="Arial" w:hAnsi="Arial"/>
      <w:color w:val="000000"/>
      <w:sz w:val="22"/>
    </w:rPr>
  </w:style>
  <w:style w:type="paragraph" w:customStyle="1" w:styleId="a3">
    <w:name w:val="Заголовок"/>
    <w:basedOn w:val="2"/>
    <w:next w:val="12"/>
    <w:pPr>
      <w:jc w:val="center"/>
    </w:pPr>
    <w:rPr>
      <w:sz w:val="28"/>
    </w:rPr>
  </w:style>
  <w:style w:type="paragraph" w:customStyle="1" w:styleId="12">
    <w:name w:val="Основной текст1"/>
    <w:basedOn w:val="2"/>
    <w:pPr>
      <w:spacing w:before="120"/>
    </w:pPr>
  </w:style>
  <w:style w:type="paragraph" w:customStyle="1" w:styleId="13">
    <w:name w:val="Назва об'єкта1"/>
    <w:basedOn w:val="2"/>
    <w:pPr>
      <w:suppressLineNumbers/>
      <w:spacing w:before="120" w:after="120"/>
    </w:pPr>
    <w:rPr>
      <w:i/>
      <w:sz w:val="24"/>
    </w:rPr>
  </w:style>
  <w:style w:type="paragraph" w:customStyle="1" w:styleId="14">
    <w:name w:val="Указатель1"/>
    <w:basedOn w:val="2"/>
    <w:pPr>
      <w:suppressLineNumbers/>
    </w:pPr>
    <w:rPr>
      <w:sz w:val="24"/>
    </w:rPr>
  </w:style>
  <w:style w:type="paragraph" w:customStyle="1" w:styleId="15">
    <w:name w:val="Основной текст с отступом1"/>
    <w:basedOn w:val="2"/>
    <w:pPr>
      <w:shd w:val="clear" w:color="auto" w:fill="FFFFFF"/>
      <w:ind w:firstLine="720"/>
      <w:jc w:val="both"/>
    </w:pPr>
    <w:rPr>
      <w:sz w:val="28"/>
    </w:rPr>
  </w:style>
  <w:style w:type="paragraph" w:customStyle="1" w:styleId="16">
    <w:name w:val="Верхній колонтитул1"/>
    <w:basedOn w:val="2"/>
    <w:pPr>
      <w:tabs>
        <w:tab w:val="center" w:pos="4153"/>
        <w:tab w:val="right" w:pos="8306"/>
      </w:tabs>
    </w:pPr>
  </w:style>
  <w:style w:type="paragraph" w:customStyle="1" w:styleId="17">
    <w:name w:val="Нижній колонтитул1"/>
    <w:basedOn w:val="2"/>
    <w:pPr>
      <w:tabs>
        <w:tab w:val="center" w:pos="4153"/>
        <w:tab w:val="right" w:pos="8306"/>
      </w:tabs>
    </w:pPr>
  </w:style>
  <w:style w:type="paragraph" w:customStyle="1" w:styleId="210">
    <w:name w:val="Основной текст с отступом 21"/>
    <w:basedOn w:val="2"/>
    <w:pPr>
      <w:tabs>
        <w:tab w:val="left" w:pos="720"/>
      </w:tabs>
      <w:spacing w:before="120" w:line="280" w:lineRule="atLeast"/>
      <w:ind w:left="360"/>
    </w:pPr>
    <w:rPr>
      <w:color w:val="000000"/>
    </w:rPr>
  </w:style>
  <w:style w:type="paragraph" w:customStyle="1" w:styleId="310">
    <w:name w:val="Основной текст с отступом 31"/>
    <w:basedOn w:val="2"/>
    <w:pPr>
      <w:shd w:val="clear" w:color="auto" w:fill="FFFFFF"/>
      <w:ind w:firstLine="720"/>
      <w:jc w:val="both"/>
    </w:pPr>
    <w:rPr>
      <w:color w:val="000000"/>
      <w:sz w:val="28"/>
    </w:rPr>
  </w:style>
  <w:style w:type="paragraph" w:customStyle="1" w:styleId="311">
    <w:name w:val="Основной текст 31"/>
    <w:basedOn w:val="2"/>
    <w:pPr>
      <w:spacing w:after="120"/>
    </w:pPr>
    <w:rPr>
      <w:sz w:val="16"/>
    </w:rPr>
  </w:style>
  <w:style w:type="paragraph" w:styleId="HTML">
    <w:name w:val="HTML Preformatted"/>
    <w:basedOn w:val="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/>
      <w:lang w:val="ru-RU"/>
    </w:rPr>
  </w:style>
  <w:style w:type="paragraph" w:customStyle="1" w:styleId="rvps7">
    <w:name w:val="rvps7"/>
    <w:basedOn w:val="2"/>
    <w:pPr>
      <w:spacing w:before="100" w:after="100"/>
    </w:pPr>
    <w:rPr>
      <w:sz w:val="24"/>
      <w:lang w:val="ru-RU"/>
    </w:rPr>
  </w:style>
  <w:style w:type="paragraph" w:customStyle="1" w:styleId="rvps6">
    <w:name w:val="rvps6"/>
    <w:basedOn w:val="2"/>
    <w:pPr>
      <w:spacing w:before="100" w:after="100"/>
    </w:pPr>
    <w:rPr>
      <w:sz w:val="24"/>
      <w:lang w:val="ru-RU"/>
    </w:rPr>
  </w:style>
  <w:style w:type="paragraph" w:customStyle="1" w:styleId="a4">
    <w:name w:val="Знак"/>
    <w:basedOn w:val="2"/>
    <w:rPr>
      <w:rFonts w:ascii="Verdana" w:eastAsia="Verdana" w:hAnsi="Verdana"/>
      <w:lang w:val="en-US"/>
    </w:rPr>
  </w:style>
  <w:style w:type="paragraph" w:customStyle="1" w:styleId="a5">
    <w:name w:val="Знак Знак Знак Знак Знак Знак Знак Знак Знак"/>
    <w:basedOn w:val="2"/>
    <w:rPr>
      <w:rFonts w:ascii="Verdana" w:eastAsia="Verdana" w:hAnsi="Verdana"/>
      <w:lang w:val="en-US"/>
    </w:rPr>
  </w:style>
  <w:style w:type="paragraph" w:styleId="a6">
    <w:name w:val="Balloon Text"/>
    <w:basedOn w:val="2"/>
    <w:rPr>
      <w:rFonts w:ascii="Tahoma" w:eastAsia="Tahoma" w:hAnsi="Tahoma"/>
      <w:sz w:val="16"/>
    </w:rPr>
  </w:style>
  <w:style w:type="paragraph" w:customStyle="1" w:styleId="rvps2">
    <w:name w:val="rvps2"/>
    <w:basedOn w:val="2"/>
    <w:pPr>
      <w:spacing w:before="100" w:after="100"/>
    </w:pPr>
    <w:rPr>
      <w:sz w:val="24"/>
      <w:lang w:val="ru-RU"/>
    </w:rPr>
  </w:style>
  <w:style w:type="paragraph" w:customStyle="1" w:styleId="a7">
    <w:name w:val="Содержимое врезки"/>
    <w:basedOn w:val="2"/>
  </w:style>
  <w:style w:type="paragraph" w:customStyle="1" w:styleId="32">
    <w:name w:val="Основной текст 32"/>
    <w:basedOn w:val="2"/>
    <w:pPr>
      <w:suppressAutoHyphens w:val="0"/>
      <w:spacing w:after="120"/>
    </w:pPr>
    <w:rPr>
      <w:kern w:val="0"/>
      <w:sz w:val="16"/>
    </w:rPr>
  </w:style>
  <w:style w:type="paragraph" w:customStyle="1" w:styleId="18">
    <w:name w:val="Название1"/>
    <w:basedOn w:val="2"/>
    <w:qFormat/>
    <w:pPr>
      <w:suppressAutoHyphens w:val="0"/>
      <w:jc w:val="center"/>
    </w:pPr>
    <w:rPr>
      <w:kern w:val="0"/>
      <w:sz w:val="28"/>
    </w:rPr>
  </w:style>
  <w:style w:type="paragraph" w:customStyle="1" w:styleId="19">
    <w:name w:val="Текст у виносці1"/>
    <w:basedOn w:val="1"/>
    <w:rPr>
      <w:rFonts w:ascii="Segoe UI" w:eastAsia="Segoe UI" w:hAnsi="Segoe UI"/>
      <w:sz w:val="18"/>
    </w:rPr>
  </w:style>
  <w:style w:type="paragraph" w:customStyle="1" w:styleId="1a">
    <w:name w:val="Список1"/>
    <w:basedOn w:val="12"/>
    <w:rPr>
      <w:sz w:val="24"/>
    </w:rPr>
  </w:style>
  <w:style w:type="character" w:customStyle="1" w:styleId="1b">
    <w:name w:val="Номер рядка1"/>
    <w:basedOn w:val="a0"/>
  </w:style>
  <w:style w:type="character" w:customStyle="1" w:styleId="1c">
    <w:name w:val="Гіперпосилання1"/>
    <w:rPr>
      <w:color w:val="0000FF"/>
      <w:u w:val="single"/>
    </w:rPr>
  </w:style>
  <w:style w:type="character" w:customStyle="1" w:styleId="WW8Num1z0">
    <w:name w:val="WW8Num1z0"/>
    <w:rPr>
      <w:b/>
    </w:rPr>
  </w:style>
  <w:style w:type="character" w:customStyle="1" w:styleId="WW8Num2z0">
    <w:name w:val="WW8Num2z0"/>
    <w:rPr>
      <w:b/>
      <w:spacing w:val="-6"/>
      <w:sz w:val="28"/>
    </w:rPr>
  </w:style>
  <w:style w:type="character" w:customStyle="1" w:styleId="WW8Num4z0">
    <w:name w:val="WW8Num4z0"/>
    <w:rPr>
      <w:rFonts w:ascii="Symbol" w:eastAsia="Symbol" w:hAnsi="Symbol"/>
    </w:rPr>
  </w:style>
  <w:style w:type="character" w:customStyle="1" w:styleId="WW8Num4z1">
    <w:name w:val="WW8Num4z1"/>
    <w:rPr>
      <w:rFonts w:ascii="Courier New" w:eastAsia="Courier New" w:hAnsi="Courier New"/>
    </w:rPr>
  </w:style>
  <w:style w:type="character" w:customStyle="1" w:styleId="WW8Num4z2">
    <w:name w:val="WW8Num4z2"/>
    <w:rPr>
      <w:rFonts w:ascii="Wingdings" w:eastAsia="Wingdings" w:hAnsi="Wingdings"/>
    </w:rPr>
  </w:style>
  <w:style w:type="character" w:customStyle="1" w:styleId="HTML0">
    <w:name w:val="Стандартный HTML Знак"/>
    <w:rPr>
      <w:rFonts w:ascii="Courier New" w:eastAsia="Courier New" w:hAnsi="Courier New"/>
      <w:lang w:val="ru-RU"/>
    </w:rPr>
  </w:style>
  <w:style w:type="character" w:customStyle="1" w:styleId="1d">
    <w:name w:val="Строгий1"/>
    <w:qFormat/>
    <w:rPr>
      <w:b/>
    </w:rPr>
  </w:style>
  <w:style w:type="character" w:customStyle="1" w:styleId="a8">
    <w:name w:val="Текст выноски Знак"/>
    <w:rPr>
      <w:rFonts w:ascii="Tahoma" w:eastAsia="Tahoma" w:hAnsi="Tahoma"/>
      <w:sz w:val="16"/>
      <w:lang w:val="uk-UA"/>
    </w:rPr>
  </w:style>
  <w:style w:type="character" w:customStyle="1" w:styleId="WWCharLFO2LVL1">
    <w:name w:val="WW_CharLFO2LVL1"/>
    <w:rPr>
      <w:b/>
    </w:rPr>
  </w:style>
  <w:style w:type="character" w:customStyle="1" w:styleId="WWCharLFO3LVL1">
    <w:name w:val="WW_CharLFO3LVL1"/>
    <w:rPr>
      <w:b/>
      <w:spacing w:val="-6"/>
      <w:sz w:val="28"/>
    </w:rPr>
  </w:style>
  <w:style w:type="character" w:customStyle="1" w:styleId="WWCharLFO5LVL1">
    <w:name w:val="WW_CharLFO5LVL1"/>
    <w:rPr>
      <w:rFonts w:ascii="Symbol" w:eastAsia="Symbol" w:hAnsi="Symbol"/>
    </w:rPr>
  </w:style>
  <w:style w:type="character" w:customStyle="1" w:styleId="WWCharLFO5LVL2">
    <w:name w:val="WW_CharLFO5LVL2"/>
    <w:rPr>
      <w:rFonts w:ascii="Courier New" w:eastAsia="Courier New" w:hAnsi="Courier New"/>
    </w:rPr>
  </w:style>
  <w:style w:type="character" w:customStyle="1" w:styleId="WWCharLFO5LVL3">
    <w:name w:val="WW_CharLFO5LVL3"/>
    <w:rPr>
      <w:rFonts w:ascii="Wingdings" w:eastAsia="Wingdings" w:hAnsi="Wingdings"/>
    </w:rPr>
  </w:style>
  <w:style w:type="character" w:customStyle="1" w:styleId="WWCharLFO5LVL4">
    <w:name w:val="WW_CharLFO5LVL4"/>
    <w:rPr>
      <w:rFonts w:ascii="Symbol" w:eastAsia="Symbol" w:hAnsi="Symbol"/>
    </w:rPr>
  </w:style>
  <w:style w:type="character" w:customStyle="1" w:styleId="WWCharLFO5LVL5">
    <w:name w:val="WW_CharLFO5LVL5"/>
    <w:rPr>
      <w:rFonts w:ascii="Courier New" w:eastAsia="Courier New" w:hAnsi="Courier New"/>
    </w:rPr>
  </w:style>
  <w:style w:type="character" w:customStyle="1" w:styleId="WWCharLFO5LVL6">
    <w:name w:val="WW_CharLFO5LVL6"/>
    <w:rPr>
      <w:rFonts w:ascii="Wingdings" w:eastAsia="Wingdings" w:hAnsi="Wingdings"/>
    </w:rPr>
  </w:style>
  <w:style w:type="character" w:customStyle="1" w:styleId="WWCharLFO5LVL7">
    <w:name w:val="WW_CharLFO5LVL7"/>
    <w:rPr>
      <w:rFonts w:ascii="Symbol" w:eastAsia="Symbol" w:hAnsi="Symbol"/>
    </w:rPr>
  </w:style>
  <w:style w:type="character" w:customStyle="1" w:styleId="WWCharLFO5LVL8">
    <w:name w:val="WW_CharLFO5LVL8"/>
    <w:rPr>
      <w:rFonts w:ascii="Courier New" w:eastAsia="Courier New" w:hAnsi="Courier New"/>
    </w:rPr>
  </w:style>
  <w:style w:type="character" w:customStyle="1" w:styleId="WWCharLFO5LVL9">
    <w:name w:val="WW_CharLFO5LVL9"/>
    <w:rPr>
      <w:rFonts w:ascii="Wingdings" w:eastAsia="Wingdings" w:hAnsi="Wingdings"/>
    </w:rPr>
  </w:style>
  <w:style w:type="character" w:customStyle="1" w:styleId="a9">
    <w:name w:val="Текст у виносці Знак"/>
    <w:rPr>
      <w:rFonts w:ascii="Segoe UI" w:eastAsia="Segoe UI" w:hAnsi="Segoe UI"/>
      <w:sz w:val="18"/>
    </w:rPr>
  </w:style>
  <w:style w:type="character" w:customStyle="1" w:styleId="3">
    <w:name w:val="Основной текст 3 Знак"/>
    <w:rPr>
      <w:kern w:val="0"/>
      <w:sz w:val="16"/>
    </w:rPr>
  </w:style>
  <w:style w:type="character" w:customStyle="1" w:styleId="aa">
    <w:name w:val="Название Знак"/>
    <w:rPr>
      <w:kern w:val="0"/>
      <w:sz w:val="28"/>
    </w:rPr>
  </w:style>
  <w:style w:type="table" w:customStyle="1" w:styleId="1e">
    <w:name w:val="Звичайна таблиця1"/>
    <w:rPr>
      <w:lang w:val="ru-RU"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Проста таблиця 11"/>
    <w:basedOn w:val="1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header"/>
    <w:basedOn w:val="a"/>
    <w:link w:val="ac"/>
    <w:uiPriority w:val="99"/>
    <w:qFormat/>
    <w:rsid w:val="000D7A80"/>
    <w:pPr>
      <w:tabs>
        <w:tab w:val="center" w:pos="4513"/>
        <w:tab w:val="right" w:pos="9026"/>
      </w:tabs>
    </w:pPr>
  </w:style>
  <w:style w:type="character" w:customStyle="1" w:styleId="ac">
    <w:name w:val="Верхній колонтитул Знак"/>
    <w:basedOn w:val="a0"/>
    <w:link w:val="ab"/>
    <w:uiPriority w:val="99"/>
    <w:rsid w:val="000D7A80"/>
    <w:rPr>
      <w:sz w:val="22"/>
    </w:rPr>
  </w:style>
  <w:style w:type="paragraph" w:styleId="ad">
    <w:name w:val="footer"/>
    <w:basedOn w:val="a"/>
    <w:link w:val="ae"/>
    <w:uiPriority w:val="9"/>
    <w:qFormat/>
    <w:rsid w:val="000D7A80"/>
    <w:pPr>
      <w:tabs>
        <w:tab w:val="center" w:pos="4513"/>
        <w:tab w:val="right" w:pos="9026"/>
      </w:tabs>
    </w:pPr>
  </w:style>
  <w:style w:type="character" w:customStyle="1" w:styleId="ae">
    <w:name w:val="Нижній колонтитул Знак"/>
    <w:basedOn w:val="a0"/>
    <w:link w:val="ad"/>
    <w:uiPriority w:val="9"/>
    <w:rsid w:val="000D7A80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2607</Words>
  <Characters>1486</Characters>
  <Application>Microsoft Office Word</Application>
  <DocSecurity>0</DocSecurity>
  <Lines>12</Lines>
  <Paragraphs>8</Paragraphs>
  <ScaleCrop>false</ScaleCrop>
  <Company/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2021-11-22T10:56:00Z</dcterms:created>
  <dcterms:modified xsi:type="dcterms:W3CDTF">2021-11-22T10:56:00Z</dcterms:modified>
</cp:coreProperties>
</file>