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21C" w:rsidRPr="0023421C" w:rsidRDefault="0023421C" w:rsidP="00B9755E">
      <w:pPr>
        <w:shd w:val="clear" w:color="auto" w:fill="FFFFFF"/>
        <w:spacing w:after="0" w:line="240" w:lineRule="auto"/>
        <w:ind w:firstLine="567"/>
        <w:jc w:val="both"/>
        <w:rPr>
          <w:rFonts w:ascii="Times New Roman" w:eastAsia="Times New Roman" w:hAnsi="Times New Roman" w:cs="Times New Roman"/>
          <w:b/>
          <w:iCs/>
          <w:sz w:val="28"/>
          <w:szCs w:val="28"/>
          <w:lang w:val="en-US" w:eastAsia="ru-RU"/>
        </w:rPr>
      </w:pPr>
      <w:r w:rsidRPr="0023421C">
        <w:rPr>
          <w:rFonts w:ascii="Times New Roman" w:eastAsia="Times New Roman" w:hAnsi="Times New Roman" w:cs="Times New Roman"/>
          <w:b/>
          <w:iCs/>
          <w:sz w:val="28"/>
          <w:szCs w:val="28"/>
          <w:lang w:val="en-US" w:eastAsia="ru-RU"/>
        </w:rPr>
        <w:t>European Union</w:t>
      </w:r>
    </w:p>
    <w:p w:rsidR="0023421C" w:rsidRDefault="0023421C" w:rsidP="0023421C">
      <w:pPr>
        <w:shd w:val="clear" w:color="auto" w:fill="FFFFFF"/>
        <w:spacing w:after="0" w:line="240" w:lineRule="auto"/>
        <w:ind w:firstLine="567"/>
        <w:jc w:val="both"/>
        <w:rPr>
          <w:rFonts w:ascii="Times New Roman" w:eastAsia="Times New Roman" w:hAnsi="Times New Roman" w:cs="Times New Roman"/>
          <w:sz w:val="28"/>
          <w:szCs w:val="28"/>
          <w:lang w:val="en-US" w:eastAsia="ru-RU"/>
        </w:rPr>
      </w:pPr>
      <w:proofErr w:type="gramStart"/>
      <w:r w:rsidRPr="0023421C">
        <w:rPr>
          <w:rFonts w:ascii="Times New Roman" w:eastAsia="Times New Roman" w:hAnsi="Times New Roman" w:cs="Times New Roman"/>
          <w:iCs/>
          <w:sz w:val="28"/>
          <w:szCs w:val="28"/>
          <w:lang w:val="en-US" w:eastAsia="ru-RU"/>
        </w:rPr>
        <w:t>Reservations:</w:t>
      </w:r>
      <w:r w:rsidRPr="0023421C">
        <w:rPr>
          <w:rFonts w:ascii="Times New Roman" w:eastAsia="Times New Roman" w:hAnsi="Times New Roman" w:cs="Times New Roman"/>
          <w:iCs/>
          <w:sz w:val="28"/>
          <w:szCs w:val="28"/>
          <w:lang w:val="en-US" w:eastAsia="ru-RU"/>
        </w:rPr>
        <w:br/>
      </w:r>
      <w:r w:rsidRPr="0023421C">
        <w:rPr>
          <w:rFonts w:ascii="Times New Roman" w:eastAsia="Times New Roman" w:hAnsi="Times New Roman" w:cs="Times New Roman"/>
          <w:sz w:val="28"/>
          <w:szCs w:val="28"/>
          <w:lang w:val="en-US" w:eastAsia="ru-RU"/>
        </w:rPr>
        <w:t>       On 27 April 2007, the European Community informed the Secretary-General of its decision to withdraw the reservation made upon approval to the Convention (see United Nations, Treaty Series, </w:t>
      </w:r>
      <w:r w:rsidR="00C85658">
        <w:fldChar w:fldCharType="begin"/>
      </w:r>
      <w:r w:rsidR="00C85658" w:rsidRPr="00C85658">
        <w:rPr>
          <w:lang w:val="en-US"/>
        </w:rPr>
        <w:instrText xml:space="preserve"> HYPERLINK "http://treaties.un.org/doc/Publication/UNTS/Volume%202105/v2105.pdf" \t "_blank" </w:instrText>
      </w:r>
      <w:r w:rsidR="00C85658">
        <w:fldChar w:fldCharType="separate"/>
      </w:r>
      <w:r w:rsidRPr="0023421C">
        <w:rPr>
          <w:rFonts w:ascii="Times New Roman" w:eastAsia="Times New Roman" w:hAnsi="Times New Roman" w:cs="Times New Roman"/>
          <w:sz w:val="28"/>
          <w:szCs w:val="28"/>
          <w:u w:val="single"/>
          <w:lang w:val="en-US" w:eastAsia="ru-RU"/>
        </w:rPr>
        <w:t>vol. 2105</w:t>
      </w:r>
      <w:r w:rsidR="00C85658">
        <w:rPr>
          <w:rFonts w:ascii="Times New Roman" w:eastAsia="Times New Roman" w:hAnsi="Times New Roman" w:cs="Times New Roman"/>
          <w:sz w:val="28"/>
          <w:szCs w:val="28"/>
          <w:u w:val="single"/>
          <w:lang w:val="en-US" w:eastAsia="ru-RU"/>
        </w:rPr>
        <w:fldChar w:fldCharType="end"/>
      </w:r>
      <w:r w:rsidRPr="0023421C">
        <w:rPr>
          <w:rFonts w:ascii="Times New Roman" w:eastAsia="Times New Roman" w:hAnsi="Times New Roman" w:cs="Times New Roman"/>
          <w:sz w:val="28"/>
          <w:szCs w:val="28"/>
          <w:lang w:val="en-US" w:eastAsia="ru-RU"/>
        </w:rPr>
        <w:t>, p. 575 for the text of the reservation) and replace it with the following reservation:</w:t>
      </w:r>
      <w:r w:rsidRPr="0023421C">
        <w:rPr>
          <w:rFonts w:ascii="Times New Roman" w:eastAsia="Times New Roman" w:hAnsi="Times New Roman" w:cs="Times New Roman"/>
          <w:sz w:val="28"/>
          <w:szCs w:val="28"/>
          <w:lang w:val="en-US" w:eastAsia="ru-RU"/>
        </w:rPr>
        <w:br/>
        <w:t>       "The Member States of the European Community, in their mutual relations, will apply the Convention in accordance with the Community's internal rules.  </w:t>
      </w:r>
      <w:proofErr w:type="gramEnd"/>
      <w:r w:rsidRPr="0023421C">
        <w:rPr>
          <w:rFonts w:ascii="Times New Roman" w:eastAsia="Times New Roman" w:hAnsi="Times New Roman" w:cs="Times New Roman"/>
          <w:sz w:val="28"/>
          <w:szCs w:val="28"/>
          <w:lang w:val="en-US" w:eastAsia="ru-RU"/>
        </w:rPr>
        <w:t xml:space="preserve">The Community therefore reserves the right as concerns the threshold quantities mentioned in Annex I, Part I, Nos. 4, 5, and 6 to the Convention, to apply threshold quantities of 100 </w:t>
      </w:r>
      <w:proofErr w:type="spellStart"/>
      <w:r w:rsidRPr="0023421C">
        <w:rPr>
          <w:rFonts w:ascii="Times New Roman" w:eastAsia="Times New Roman" w:hAnsi="Times New Roman" w:cs="Times New Roman"/>
          <w:sz w:val="28"/>
          <w:szCs w:val="28"/>
          <w:lang w:val="en-US" w:eastAsia="ru-RU"/>
        </w:rPr>
        <w:t>tonnes</w:t>
      </w:r>
      <w:proofErr w:type="spellEnd"/>
      <w:r w:rsidRPr="0023421C">
        <w:rPr>
          <w:rFonts w:ascii="Times New Roman" w:eastAsia="Times New Roman" w:hAnsi="Times New Roman" w:cs="Times New Roman"/>
          <w:sz w:val="28"/>
          <w:szCs w:val="28"/>
          <w:lang w:val="en-US" w:eastAsia="ru-RU"/>
        </w:rPr>
        <w:t xml:space="preserve"> for bromine (very toxic substance), 5000 </w:t>
      </w:r>
      <w:proofErr w:type="spellStart"/>
      <w:r w:rsidRPr="0023421C">
        <w:rPr>
          <w:rFonts w:ascii="Times New Roman" w:eastAsia="Times New Roman" w:hAnsi="Times New Roman" w:cs="Times New Roman"/>
          <w:sz w:val="28"/>
          <w:szCs w:val="28"/>
          <w:lang w:val="en-US" w:eastAsia="ru-RU"/>
        </w:rPr>
        <w:t>tonnes</w:t>
      </w:r>
      <w:proofErr w:type="spellEnd"/>
      <w:r w:rsidRPr="0023421C">
        <w:rPr>
          <w:rFonts w:ascii="Times New Roman" w:eastAsia="Times New Roman" w:hAnsi="Times New Roman" w:cs="Times New Roman"/>
          <w:sz w:val="28"/>
          <w:szCs w:val="28"/>
          <w:lang w:val="en-US" w:eastAsia="ru-RU"/>
        </w:rPr>
        <w:t xml:space="preserve"> for methanol (toxic substance) and 2000 </w:t>
      </w:r>
      <w:proofErr w:type="spellStart"/>
      <w:r w:rsidRPr="0023421C">
        <w:rPr>
          <w:rFonts w:ascii="Times New Roman" w:eastAsia="Times New Roman" w:hAnsi="Times New Roman" w:cs="Times New Roman"/>
          <w:sz w:val="28"/>
          <w:szCs w:val="28"/>
          <w:lang w:val="en-US" w:eastAsia="ru-RU"/>
        </w:rPr>
        <w:t>tonnes</w:t>
      </w:r>
      <w:proofErr w:type="spellEnd"/>
      <w:r w:rsidRPr="0023421C">
        <w:rPr>
          <w:rFonts w:ascii="Times New Roman" w:eastAsia="Times New Roman" w:hAnsi="Times New Roman" w:cs="Times New Roman"/>
          <w:sz w:val="28"/>
          <w:szCs w:val="28"/>
          <w:lang w:val="en-US" w:eastAsia="ru-RU"/>
        </w:rPr>
        <w:t xml:space="preserve"> for oxygen (</w:t>
      </w:r>
      <w:proofErr w:type="spellStart"/>
      <w:r w:rsidRPr="0023421C">
        <w:rPr>
          <w:rFonts w:ascii="Times New Roman" w:eastAsia="Times New Roman" w:hAnsi="Times New Roman" w:cs="Times New Roman"/>
          <w:sz w:val="28"/>
          <w:szCs w:val="28"/>
          <w:lang w:val="en-US" w:eastAsia="ru-RU"/>
        </w:rPr>
        <w:t>oxidising</w:t>
      </w:r>
      <w:proofErr w:type="spellEnd"/>
      <w:r w:rsidRPr="0023421C">
        <w:rPr>
          <w:rFonts w:ascii="Times New Roman" w:eastAsia="Times New Roman" w:hAnsi="Times New Roman" w:cs="Times New Roman"/>
          <w:sz w:val="28"/>
          <w:szCs w:val="28"/>
          <w:lang w:val="en-US" w:eastAsia="ru-RU"/>
        </w:rPr>
        <w:t xml:space="preserve"> substance)."</w:t>
      </w:r>
    </w:p>
    <w:p w:rsidR="0023421C" w:rsidRPr="0023421C" w:rsidRDefault="0023421C" w:rsidP="0023421C">
      <w:pPr>
        <w:shd w:val="clear" w:color="auto" w:fill="FFFFFF"/>
        <w:spacing w:after="0" w:line="240" w:lineRule="auto"/>
        <w:ind w:firstLine="567"/>
        <w:jc w:val="both"/>
        <w:rPr>
          <w:rFonts w:ascii="Times New Roman" w:eastAsia="Times New Roman" w:hAnsi="Times New Roman" w:cs="Times New Roman"/>
          <w:sz w:val="28"/>
          <w:szCs w:val="28"/>
          <w:lang w:val="en-US" w:eastAsia="ru-RU"/>
        </w:rPr>
      </w:pPr>
    </w:p>
    <w:p w:rsidR="0023421C" w:rsidRPr="0023421C" w:rsidRDefault="0023421C" w:rsidP="00B9755E">
      <w:pPr>
        <w:shd w:val="clear" w:color="auto" w:fill="FFFFFF"/>
        <w:spacing w:after="0" w:line="240" w:lineRule="auto"/>
        <w:ind w:firstLine="567"/>
        <w:jc w:val="both"/>
        <w:rPr>
          <w:rFonts w:ascii="Times New Roman" w:eastAsia="Times New Roman" w:hAnsi="Times New Roman" w:cs="Times New Roman"/>
          <w:b/>
          <w:iCs/>
          <w:sz w:val="28"/>
          <w:szCs w:val="28"/>
          <w:lang w:val="en-US" w:eastAsia="ru-RU"/>
        </w:rPr>
      </w:pPr>
      <w:r w:rsidRPr="0023421C">
        <w:rPr>
          <w:rFonts w:ascii="Times New Roman" w:eastAsia="Times New Roman" w:hAnsi="Times New Roman" w:cs="Times New Roman"/>
          <w:b/>
          <w:iCs/>
          <w:sz w:val="28"/>
          <w:szCs w:val="28"/>
          <w:lang w:val="en-US" w:eastAsia="ru-RU"/>
        </w:rPr>
        <w:t>France</w:t>
      </w:r>
    </w:p>
    <w:p w:rsidR="0023421C" w:rsidRDefault="0023421C" w:rsidP="0023421C">
      <w:pPr>
        <w:shd w:val="clear" w:color="auto" w:fill="FFFFFF"/>
        <w:spacing w:after="0" w:line="24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w:t>
      </w:r>
      <w:r w:rsidRPr="0023421C">
        <w:rPr>
          <w:rFonts w:ascii="Times New Roman" w:eastAsia="Times New Roman" w:hAnsi="Times New Roman" w:cs="Times New Roman"/>
          <w:sz w:val="28"/>
          <w:szCs w:val="28"/>
          <w:lang w:val="en-US" w:eastAsia="ru-RU"/>
        </w:rPr>
        <w:t>Reservation:</w:t>
      </w:r>
      <w:r w:rsidRPr="0023421C">
        <w:rPr>
          <w:rFonts w:ascii="Times New Roman" w:eastAsia="Times New Roman" w:hAnsi="Times New Roman" w:cs="Times New Roman"/>
          <w:sz w:val="28"/>
          <w:szCs w:val="28"/>
          <w:lang w:val="en-US" w:eastAsia="ru-RU"/>
        </w:rPr>
        <w:br/>
        <w:t>       At the time of adopting the Convention on the Transboundary Effects of Industrial Accidents, signed at Helsinki on 18 March 1992, the French Republic associates itself with the reservations expressed by the European Community at the time of the deposit of its instrument of ratification and states that it will apply the Convention in accordance with its obligations under Directive 96/82 of the Council of the European Union of 9 December 1996 on the control of major-accident hazards involving dangerous substances.</w:t>
      </w:r>
    </w:p>
    <w:p w:rsidR="0023421C" w:rsidRPr="0023421C" w:rsidRDefault="0023421C" w:rsidP="0023421C">
      <w:pPr>
        <w:shd w:val="clear" w:color="auto" w:fill="FFFFFF"/>
        <w:spacing w:after="0" w:line="240" w:lineRule="auto"/>
        <w:jc w:val="both"/>
        <w:rPr>
          <w:rFonts w:ascii="Times New Roman" w:eastAsia="Times New Roman" w:hAnsi="Times New Roman" w:cs="Times New Roman"/>
          <w:sz w:val="28"/>
          <w:szCs w:val="28"/>
          <w:lang w:val="en-US" w:eastAsia="ru-RU"/>
        </w:rPr>
      </w:pPr>
    </w:p>
    <w:p w:rsidR="00B9755E" w:rsidRPr="00B9755E" w:rsidRDefault="00B9755E" w:rsidP="0023421C">
      <w:pPr>
        <w:shd w:val="clear" w:color="auto" w:fill="FFFFFF"/>
        <w:spacing w:after="0" w:line="240" w:lineRule="auto"/>
        <w:ind w:firstLine="567"/>
        <w:jc w:val="both"/>
        <w:rPr>
          <w:rFonts w:ascii="Times New Roman" w:eastAsia="Times New Roman" w:hAnsi="Times New Roman" w:cs="Times New Roman"/>
          <w:b/>
          <w:iCs/>
          <w:sz w:val="28"/>
          <w:szCs w:val="28"/>
          <w:lang w:val="en-US" w:eastAsia="ru-RU"/>
        </w:rPr>
      </w:pPr>
      <w:r w:rsidRPr="00B9755E">
        <w:rPr>
          <w:rFonts w:ascii="Times New Roman" w:eastAsia="Times New Roman" w:hAnsi="Times New Roman" w:cs="Times New Roman"/>
          <w:b/>
          <w:iCs/>
          <w:sz w:val="28"/>
          <w:szCs w:val="28"/>
          <w:lang w:val="en-US" w:eastAsia="ru-RU"/>
        </w:rPr>
        <w:t>Netherlands</w:t>
      </w:r>
    </w:p>
    <w:p w:rsidR="0023421C" w:rsidRPr="0023421C" w:rsidRDefault="0023421C" w:rsidP="0023421C">
      <w:pPr>
        <w:shd w:val="clear" w:color="auto" w:fill="FFFFFF"/>
        <w:spacing w:after="0" w:line="240" w:lineRule="auto"/>
        <w:ind w:firstLine="567"/>
        <w:jc w:val="both"/>
        <w:rPr>
          <w:rFonts w:ascii="Times New Roman" w:eastAsia="Times New Roman" w:hAnsi="Times New Roman" w:cs="Times New Roman"/>
          <w:sz w:val="28"/>
          <w:szCs w:val="28"/>
          <w:lang w:val="en-US" w:eastAsia="ru-RU"/>
        </w:rPr>
      </w:pPr>
      <w:r w:rsidRPr="0023421C">
        <w:rPr>
          <w:rFonts w:ascii="Times New Roman" w:eastAsia="Times New Roman" w:hAnsi="Times New Roman" w:cs="Times New Roman"/>
          <w:iCs/>
          <w:sz w:val="28"/>
          <w:szCs w:val="28"/>
          <w:lang w:val="en-US" w:eastAsia="ru-RU"/>
        </w:rPr>
        <w:t>Reservation:</w:t>
      </w:r>
      <w:r w:rsidRPr="0023421C">
        <w:rPr>
          <w:rFonts w:ascii="Times New Roman" w:eastAsia="Times New Roman" w:hAnsi="Times New Roman" w:cs="Times New Roman"/>
          <w:iCs/>
          <w:sz w:val="28"/>
          <w:szCs w:val="28"/>
          <w:lang w:val="en-US" w:eastAsia="ru-RU"/>
        </w:rPr>
        <w:br/>
      </w:r>
      <w:r w:rsidRPr="0023421C">
        <w:rPr>
          <w:rFonts w:ascii="Times New Roman" w:eastAsia="Times New Roman" w:hAnsi="Times New Roman" w:cs="Times New Roman"/>
          <w:sz w:val="28"/>
          <w:szCs w:val="28"/>
          <w:lang w:val="en-US" w:eastAsia="ru-RU"/>
        </w:rPr>
        <w:t>       “The Kingdom of the Netherlands reserves the right as concerns the threshold quantities mentioned in Annex I of the Convention, to apply the threshold quantities mentioned in European Council Directive 96/82/EC of 9 December 1996 on the control of major-accident hazards involving dangerous substances.”</w:t>
      </w:r>
    </w:p>
    <w:p w:rsidR="0023421C" w:rsidRPr="0023421C" w:rsidRDefault="0023421C" w:rsidP="0023421C">
      <w:pPr>
        <w:shd w:val="clear" w:color="auto" w:fill="FFFFFF"/>
        <w:spacing w:after="0" w:line="240" w:lineRule="auto"/>
        <w:jc w:val="both"/>
        <w:rPr>
          <w:rFonts w:ascii="Calibri" w:eastAsia="Times New Roman" w:hAnsi="Calibri" w:cs="Times New Roman"/>
          <w:color w:val="524E4E"/>
          <w:sz w:val="21"/>
          <w:szCs w:val="21"/>
          <w:lang w:val="en-US" w:eastAsia="ru-RU"/>
        </w:rPr>
      </w:pPr>
    </w:p>
    <w:p w:rsidR="0023421C" w:rsidRDefault="0023421C"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p>
    <w:p w:rsidR="00B9755E" w:rsidRDefault="00B9755E" w:rsidP="006E0664">
      <w:pPr>
        <w:spacing w:after="0" w:line="240" w:lineRule="auto"/>
        <w:ind w:firstLine="567"/>
        <w:jc w:val="both"/>
        <w:rPr>
          <w:rFonts w:ascii="Times New Roman" w:hAnsi="Times New Roman" w:cs="Times New Roman"/>
          <w:sz w:val="28"/>
          <w:szCs w:val="28"/>
          <w:lang w:val="en-US"/>
        </w:rPr>
      </w:pPr>
      <w:bookmarkStart w:id="0" w:name="_GoBack"/>
      <w:bookmarkEnd w:id="0"/>
    </w:p>
    <w:sectPr w:rsidR="00B975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056"/>
    <w:rsid w:val="001E0014"/>
    <w:rsid w:val="0023421C"/>
    <w:rsid w:val="006E0664"/>
    <w:rsid w:val="007326F8"/>
    <w:rsid w:val="00820011"/>
    <w:rsid w:val="0083249F"/>
    <w:rsid w:val="009D6A10"/>
    <w:rsid w:val="00A45FE2"/>
    <w:rsid w:val="00A53056"/>
    <w:rsid w:val="00B97082"/>
    <w:rsid w:val="00B9755E"/>
    <w:rsid w:val="00C856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A41E07-521F-4CE3-8796-87D5FDBE5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3421C"/>
    <w:rPr>
      <w:color w:val="0000FF"/>
      <w:u w:val="single"/>
    </w:rPr>
  </w:style>
  <w:style w:type="paragraph" w:styleId="a4">
    <w:name w:val="Normal (Web)"/>
    <w:basedOn w:val="a"/>
    <w:uiPriority w:val="99"/>
    <w:semiHidden/>
    <w:unhideWhenUsed/>
    <w:rsid w:val="0023421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49307">
      <w:bodyDiv w:val="1"/>
      <w:marLeft w:val="0"/>
      <w:marRight w:val="0"/>
      <w:marTop w:val="0"/>
      <w:marBottom w:val="0"/>
      <w:divBdr>
        <w:top w:val="none" w:sz="0" w:space="0" w:color="auto"/>
        <w:left w:val="none" w:sz="0" w:space="0" w:color="auto"/>
        <w:bottom w:val="none" w:sz="0" w:space="0" w:color="auto"/>
        <w:right w:val="none" w:sz="0" w:space="0" w:color="auto"/>
      </w:divBdr>
      <w:divsChild>
        <w:div w:id="124154243">
          <w:marLeft w:val="0"/>
          <w:marRight w:val="0"/>
          <w:marTop w:val="0"/>
          <w:marBottom w:val="0"/>
          <w:divBdr>
            <w:top w:val="none" w:sz="0" w:space="0" w:color="auto"/>
            <w:left w:val="none" w:sz="0" w:space="0" w:color="auto"/>
            <w:bottom w:val="none" w:sz="0" w:space="0" w:color="auto"/>
            <w:right w:val="none" w:sz="0" w:space="0" w:color="auto"/>
          </w:divBdr>
        </w:div>
        <w:div w:id="1330906843">
          <w:marLeft w:val="0"/>
          <w:marRight w:val="0"/>
          <w:marTop w:val="150"/>
          <w:marBottom w:val="0"/>
          <w:divBdr>
            <w:top w:val="none" w:sz="0" w:space="0" w:color="auto"/>
            <w:left w:val="none" w:sz="0" w:space="0" w:color="auto"/>
            <w:bottom w:val="none" w:sz="0" w:space="0" w:color="auto"/>
            <w:right w:val="none" w:sz="0" w:space="0" w:color="auto"/>
          </w:divBdr>
        </w:div>
      </w:divsChild>
    </w:div>
    <w:div w:id="160589133">
      <w:bodyDiv w:val="1"/>
      <w:marLeft w:val="0"/>
      <w:marRight w:val="0"/>
      <w:marTop w:val="0"/>
      <w:marBottom w:val="0"/>
      <w:divBdr>
        <w:top w:val="none" w:sz="0" w:space="0" w:color="auto"/>
        <w:left w:val="none" w:sz="0" w:space="0" w:color="auto"/>
        <w:bottom w:val="none" w:sz="0" w:space="0" w:color="auto"/>
        <w:right w:val="none" w:sz="0" w:space="0" w:color="auto"/>
      </w:divBdr>
      <w:divsChild>
        <w:div w:id="1645156582">
          <w:marLeft w:val="0"/>
          <w:marRight w:val="0"/>
          <w:marTop w:val="0"/>
          <w:marBottom w:val="0"/>
          <w:divBdr>
            <w:top w:val="none" w:sz="0" w:space="0" w:color="auto"/>
            <w:left w:val="none" w:sz="0" w:space="0" w:color="auto"/>
            <w:bottom w:val="none" w:sz="0" w:space="0" w:color="auto"/>
            <w:right w:val="none" w:sz="0" w:space="0" w:color="auto"/>
          </w:divBdr>
        </w:div>
        <w:div w:id="1256983466">
          <w:marLeft w:val="0"/>
          <w:marRight w:val="0"/>
          <w:marTop w:val="150"/>
          <w:marBottom w:val="0"/>
          <w:divBdr>
            <w:top w:val="none" w:sz="0" w:space="0" w:color="auto"/>
            <w:left w:val="none" w:sz="0" w:space="0" w:color="auto"/>
            <w:bottom w:val="none" w:sz="0" w:space="0" w:color="auto"/>
            <w:right w:val="none" w:sz="0" w:space="0" w:color="auto"/>
          </w:divBdr>
        </w:div>
      </w:divsChild>
    </w:div>
    <w:div w:id="545414438">
      <w:bodyDiv w:val="1"/>
      <w:marLeft w:val="0"/>
      <w:marRight w:val="0"/>
      <w:marTop w:val="0"/>
      <w:marBottom w:val="0"/>
      <w:divBdr>
        <w:top w:val="none" w:sz="0" w:space="0" w:color="auto"/>
        <w:left w:val="none" w:sz="0" w:space="0" w:color="auto"/>
        <w:bottom w:val="none" w:sz="0" w:space="0" w:color="auto"/>
        <w:right w:val="none" w:sz="0" w:space="0" w:color="auto"/>
      </w:divBdr>
      <w:divsChild>
        <w:div w:id="2056925797">
          <w:marLeft w:val="0"/>
          <w:marRight w:val="0"/>
          <w:marTop w:val="0"/>
          <w:marBottom w:val="0"/>
          <w:divBdr>
            <w:top w:val="none" w:sz="0" w:space="0" w:color="auto"/>
            <w:left w:val="none" w:sz="0" w:space="0" w:color="auto"/>
            <w:bottom w:val="none" w:sz="0" w:space="0" w:color="auto"/>
            <w:right w:val="none" w:sz="0" w:space="0" w:color="auto"/>
          </w:divBdr>
        </w:div>
        <w:div w:id="1774857990">
          <w:marLeft w:val="0"/>
          <w:marRight w:val="0"/>
          <w:marTop w:val="150"/>
          <w:marBottom w:val="0"/>
          <w:divBdr>
            <w:top w:val="none" w:sz="0" w:space="0" w:color="auto"/>
            <w:left w:val="none" w:sz="0" w:space="0" w:color="auto"/>
            <w:bottom w:val="none" w:sz="0" w:space="0" w:color="auto"/>
            <w:right w:val="none" w:sz="0" w:space="0" w:color="auto"/>
          </w:divBdr>
        </w:div>
      </w:divsChild>
    </w:div>
    <w:div w:id="849761487">
      <w:bodyDiv w:val="1"/>
      <w:marLeft w:val="0"/>
      <w:marRight w:val="0"/>
      <w:marTop w:val="0"/>
      <w:marBottom w:val="0"/>
      <w:divBdr>
        <w:top w:val="none" w:sz="0" w:space="0" w:color="auto"/>
        <w:left w:val="none" w:sz="0" w:space="0" w:color="auto"/>
        <w:bottom w:val="none" w:sz="0" w:space="0" w:color="auto"/>
        <w:right w:val="none" w:sz="0" w:space="0" w:color="auto"/>
      </w:divBdr>
      <w:divsChild>
        <w:div w:id="48497078">
          <w:marLeft w:val="0"/>
          <w:marRight w:val="0"/>
          <w:marTop w:val="0"/>
          <w:marBottom w:val="0"/>
          <w:divBdr>
            <w:top w:val="none" w:sz="0" w:space="0" w:color="auto"/>
            <w:left w:val="none" w:sz="0" w:space="0" w:color="auto"/>
            <w:bottom w:val="none" w:sz="0" w:space="0" w:color="auto"/>
            <w:right w:val="none" w:sz="0" w:space="0" w:color="auto"/>
          </w:divBdr>
        </w:div>
        <w:div w:id="708800554">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1148</Words>
  <Characters>655</Characters>
  <Application>Microsoft Office Word</Application>
  <DocSecurity>0</DocSecurity>
  <Lines>5</Lines>
  <Paragraphs>3</Paragraphs>
  <ScaleCrop>false</ScaleCrop>
  <Company>SPecialiST RePack</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dc:creator>
  <cp:keywords/>
  <dc:description/>
  <cp:lastModifiedBy>Tymoshenko Dmytro</cp:lastModifiedBy>
  <cp:revision>14</cp:revision>
  <dcterms:created xsi:type="dcterms:W3CDTF">2021-10-18T11:12:00Z</dcterms:created>
  <dcterms:modified xsi:type="dcterms:W3CDTF">2021-11-12T11:06:00Z</dcterms:modified>
</cp:coreProperties>
</file>