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695" w:rsidRPr="00F5740F" w:rsidRDefault="00644695" w:rsidP="00644695">
      <w:pPr>
        <w:jc w:val="right"/>
        <w:rPr>
          <w:rFonts w:ascii="Times New Roman" w:hAnsi="Times New Roman"/>
          <w:sz w:val="28"/>
          <w:szCs w:val="28"/>
          <w:lang w:eastAsia="en-US"/>
        </w:rPr>
      </w:pPr>
      <w:bookmarkStart w:id="0" w:name="_GoBack"/>
      <w:bookmarkEnd w:id="0"/>
      <w:r w:rsidRPr="00F5740F">
        <w:rPr>
          <w:rFonts w:ascii="Times New Roman" w:hAnsi="Times New Roman"/>
          <w:sz w:val="28"/>
          <w:szCs w:val="28"/>
          <w:lang w:eastAsia="en-US"/>
        </w:rPr>
        <w:t>ПРОЕКТ</w:t>
      </w:r>
    </w:p>
    <w:p w:rsidR="00644695" w:rsidRPr="00F5740F" w:rsidRDefault="00644695" w:rsidP="00644695">
      <w:pPr>
        <w:jc w:val="right"/>
        <w:rPr>
          <w:rFonts w:ascii="Times New Roman" w:hAnsi="Times New Roman"/>
          <w:sz w:val="28"/>
          <w:szCs w:val="28"/>
          <w:lang w:eastAsia="en-US"/>
        </w:rPr>
      </w:pPr>
      <w:r w:rsidRPr="00F5740F">
        <w:rPr>
          <w:rFonts w:ascii="Times New Roman" w:hAnsi="Times New Roman"/>
          <w:sz w:val="28"/>
          <w:szCs w:val="28"/>
          <w:lang w:eastAsia="en-US"/>
        </w:rPr>
        <w:t>вноситься народними депутатами України</w:t>
      </w:r>
    </w:p>
    <w:p w:rsidR="00644695" w:rsidRPr="00F5740F" w:rsidRDefault="00644695" w:rsidP="00644695">
      <w:pPr>
        <w:jc w:val="right"/>
        <w:rPr>
          <w:rFonts w:ascii="Times New Roman" w:hAnsi="Times New Roman"/>
          <w:sz w:val="28"/>
          <w:szCs w:val="28"/>
          <w:lang w:eastAsia="en-US"/>
        </w:rPr>
      </w:pPr>
    </w:p>
    <w:p w:rsidR="00644695" w:rsidRPr="00F5740F" w:rsidRDefault="00644695" w:rsidP="00644695">
      <w:pPr>
        <w:jc w:val="right"/>
        <w:rPr>
          <w:rFonts w:ascii="Times New Roman" w:hAnsi="Times New Roman"/>
          <w:sz w:val="28"/>
          <w:szCs w:val="28"/>
          <w:lang w:eastAsia="en-US"/>
        </w:rPr>
      </w:pPr>
      <w:r w:rsidRPr="00F5740F">
        <w:rPr>
          <w:rFonts w:ascii="Times New Roman" w:hAnsi="Times New Roman"/>
          <w:sz w:val="28"/>
          <w:szCs w:val="28"/>
          <w:lang w:eastAsia="en-US"/>
        </w:rPr>
        <w:t>Д.О. Гетманцевим</w:t>
      </w:r>
    </w:p>
    <w:p w:rsidR="00644695" w:rsidRDefault="000A17A6" w:rsidP="00644695">
      <w:pPr>
        <w:jc w:val="right"/>
        <w:rPr>
          <w:rFonts w:ascii="Times New Roman" w:hAnsi="Times New Roman"/>
          <w:sz w:val="28"/>
          <w:szCs w:val="28"/>
          <w:lang w:eastAsia="en-US"/>
        </w:rPr>
      </w:pPr>
      <w:r>
        <w:rPr>
          <w:rFonts w:ascii="Times New Roman" w:hAnsi="Times New Roman"/>
          <w:sz w:val="28"/>
          <w:szCs w:val="28"/>
          <w:lang w:eastAsia="en-US"/>
        </w:rPr>
        <w:t>та іншими</w:t>
      </w:r>
    </w:p>
    <w:p w:rsidR="00644695" w:rsidRPr="00F5740F" w:rsidRDefault="00644695" w:rsidP="00644695">
      <w:pPr>
        <w:jc w:val="right"/>
        <w:rPr>
          <w:rFonts w:ascii="Times New Roman" w:hAnsi="Times New Roman"/>
          <w:sz w:val="28"/>
          <w:szCs w:val="28"/>
          <w:lang w:eastAsia="en-US"/>
        </w:rPr>
      </w:pP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7B4726" w:rsidRPr="007B4726" w:rsidRDefault="007B4726" w:rsidP="007B4726">
      <w:pPr>
        <w:pStyle w:val="a6"/>
        <w:rPr>
          <w:rFonts w:ascii="Times New Roman" w:hAnsi="Times New Roman"/>
          <w:b w:val="0"/>
          <w:sz w:val="28"/>
          <w:szCs w:val="28"/>
        </w:rPr>
      </w:pPr>
      <w:r>
        <w:rPr>
          <w:rFonts w:ascii="Times New Roman" w:hAnsi="Times New Roman"/>
          <w:b w:val="0"/>
          <w:sz w:val="28"/>
          <w:szCs w:val="28"/>
        </w:rPr>
        <w:t xml:space="preserve">Про внесення змін до Митного кодексу України </w:t>
      </w:r>
      <w:r>
        <w:rPr>
          <w:rFonts w:ascii="Times New Roman" w:hAnsi="Times New Roman"/>
          <w:b w:val="0"/>
          <w:sz w:val="28"/>
          <w:szCs w:val="28"/>
        </w:rPr>
        <w:br/>
        <w:t xml:space="preserve">щодо запровадження атестації посадових осіб </w:t>
      </w:r>
      <w:r>
        <w:rPr>
          <w:rFonts w:ascii="Times New Roman" w:hAnsi="Times New Roman"/>
          <w:b w:val="0"/>
          <w:sz w:val="28"/>
          <w:szCs w:val="28"/>
        </w:rPr>
        <w:br/>
        <w:t>митних органів</w:t>
      </w:r>
      <w:r>
        <w:rPr>
          <w:rFonts w:ascii="Times New Roman" w:hAnsi="Times New Roman"/>
          <w:b w:val="0"/>
          <w:sz w:val="28"/>
          <w:szCs w:val="28"/>
        </w:rPr>
        <w:br/>
      </w:r>
    </w:p>
    <w:p w:rsidR="007B4726" w:rsidRDefault="007B4726" w:rsidP="007B4726">
      <w:pPr>
        <w:tabs>
          <w:tab w:val="left" w:pos="851"/>
        </w:tabs>
        <w:spacing w:before="120"/>
        <w:ind w:firstLine="567"/>
        <w:jc w:val="both"/>
        <w:rPr>
          <w:rFonts w:ascii="Times New Roman" w:hAnsi="Times New Roman"/>
          <w:sz w:val="28"/>
          <w:szCs w:val="28"/>
        </w:rPr>
      </w:pPr>
      <w:r>
        <w:rPr>
          <w:rFonts w:ascii="Times New Roman" w:hAnsi="Times New Roman"/>
          <w:sz w:val="28"/>
          <w:szCs w:val="28"/>
        </w:rPr>
        <w:t>Верховна Рада України п о с т а н о в л я є:</w:t>
      </w:r>
    </w:p>
    <w:p w:rsidR="00644695"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І.</w:t>
      </w:r>
      <w:r>
        <w:rPr>
          <w:rFonts w:ascii="Times New Roman" w:hAnsi="Times New Roman"/>
          <w:sz w:val="28"/>
          <w:szCs w:val="28"/>
          <w:lang w:val="ru-RU"/>
        </w:rPr>
        <w:t> </w:t>
      </w:r>
      <w:r>
        <w:rPr>
          <w:rFonts w:ascii="Times New Roman" w:hAnsi="Times New Roman"/>
          <w:sz w:val="28"/>
          <w:szCs w:val="28"/>
        </w:rPr>
        <w:t xml:space="preserve"> </w:t>
      </w:r>
      <w:r w:rsidR="00644695" w:rsidRPr="00644695">
        <w:rPr>
          <w:rFonts w:ascii="Times New Roman" w:hAnsi="Times New Roman"/>
          <w:sz w:val="28"/>
          <w:szCs w:val="28"/>
        </w:rPr>
        <w:t>Внести до Митного кодексу України (Відомості Верховної Ради України, 2012 р., №№ 44</w:t>
      </w:r>
      <w:r w:rsidR="00644695">
        <w:rPr>
          <w:rFonts w:ascii="Times New Roman" w:hAnsi="Times New Roman"/>
          <w:sz w:val="28"/>
          <w:szCs w:val="28"/>
        </w:rPr>
        <w:t xml:space="preserve"> – </w:t>
      </w:r>
      <w:r w:rsidR="00644695" w:rsidRPr="00644695">
        <w:rPr>
          <w:rFonts w:ascii="Times New Roman" w:hAnsi="Times New Roman"/>
          <w:sz w:val="28"/>
          <w:szCs w:val="28"/>
        </w:rPr>
        <w:t>48, ст. 552) такі зміни</w:t>
      </w:r>
      <w:r w:rsidR="00644695">
        <w:rPr>
          <w:rFonts w:ascii="Times New Roman" w:hAnsi="Times New Roman"/>
          <w:sz w:val="28"/>
          <w:szCs w:val="28"/>
        </w:rPr>
        <w:t>:</w:t>
      </w:r>
    </w:p>
    <w:p w:rsidR="00644695" w:rsidRDefault="00644695"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1. Частину третю статті 570 викласти в такій редакції:</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w:t>
      </w:r>
      <w:r w:rsidRPr="00644695">
        <w:rPr>
          <w:rFonts w:ascii="Times New Roman" w:hAnsi="Times New Roman"/>
          <w:sz w:val="28"/>
          <w:szCs w:val="28"/>
        </w:rPr>
        <w:t xml:space="preserve">3. На службу до митних органів не можуть бути прийняті особи, стосовно яких встановлено обмеження щодо вступу на державну службу відповідно до законів України </w:t>
      </w:r>
      <w:r w:rsidR="00E32185" w:rsidRPr="00644695">
        <w:rPr>
          <w:rFonts w:ascii="Times New Roman" w:hAnsi="Times New Roman"/>
          <w:sz w:val="28"/>
          <w:szCs w:val="28"/>
        </w:rPr>
        <w:t>“</w:t>
      </w:r>
      <w:r w:rsidRPr="00644695">
        <w:rPr>
          <w:rFonts w:ascii="Times New Roman" w:hAnsi="Times New Roman"/>
          <w:sz w:val="28"/>
          <w:szCs w:val="28"/>
        </w:rPr>
        <w:t>Про державну службу</w:t>
      </w:r>
      <w:r w:rsidR="00E32185" w:rsidRPr="00644695">
        <w:rPr>
          <w:rFonts w:ascii="Times New Roman" w:hAnsi="Times New Roman"/>
          <w:sz w:val="28"/>
          <w:szCs w:val="28"/>
        </w:rPr>
        <w:t>”</w:t>
      </w:r>
      <w:r w:rsidRPr="00644695">
        <w:rPr>
          <w:rFonts w:ascii="Times New Roman" w:hAnsi="Times New Roman"/>
          <w:sz w:val="28"/>
          <w:szCs w:val="28"/>
        </w:rPr>
        <w:t xml:space="preserve"> та </w:t>
      </w:r>
      <w:r w:rsidR="00E32185" w:rsidRPr="00644695">
        <w:rPr>
          <w:rFonts w:ascii="Times New Roman" w:hAnsi="Times New Roman"/>
          <w:sz w:val="28"/>
          <w:szCs w:val="28"/>
        </w:rPr>
        <w:t>“</w:t>
      </w:r>
      <w:r w:rsidRPr="00644695">
        <w:rPr>
          <w:rFonts w:ascii="Times New Roman" w:hAnsi="Times New Roman"/>
          <w:sz w:val="28"/>
          <w:szCs w:val="28"/>
        </w:rPr>
        <w:t>Про запобігання корупції</w:t>
      </w:r>
      <w:r w:rsidR="00E32185" w:rsidRPr="00644695">
        <w:rPr>
          <w:rFonts w:ascii="Times New Roman" w:hAnsi="Times New Roman"/>
          <w:sz w:val="28"/>
          <w:szCs w:val="28"/>
        </w:rPr>
        <w:t>”</w:t>
      </w:r>
      <w:r w:rsidRPr="00644695">
        <w:rPr>
          <w:rFonts w:ascii="Times New Roman" w:hAnsi="Times New Roman"/>
          <w:sz w:val="28"/>
          <w:szCs w:val="28"/>
        </w:rPr>
        <w:t>.</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Стосовно осіб, які претендують на службу в митних органах, за їх письмовою згодою проводиться спеціальна перевірка у випадках та в порядку, встановлених Законом України “Про запобігання корупції”.</w:t>
      </w:r>
    </w:p>
    <w:p w:rsid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Особи, які претендують на службу в митних органах, до призначення на відповідну посаду зобов’язані повідомити керівництву органу, на зайняття посади в якому вони претендують, про працюючих у цьому органі близьких осіб</w:t>
      </w:r>
      <w:r>
        <w:rPr>
          <w:rFonts w:ascii="Times New Roman" w:hAnsi="Times New Roman"/>
          <w:sz w:val="28"/>
          <w:szCs w:val="28"/>
        </w:rPr>
        <w:t>”</w:t>
      </w:r>
      <w:r w:rsidRPr="00644695">
        <w:rPr>
          <w:rFonts w:ascii="Times New Roman" w:hAnsi="Times New Roman"/>
          <w:sz w:val="28"/>
          <w:szCs w:val="28"/>
        </w:rPr>
        <w:t>.</w:t>
      </w:r>
    </w:p>
    <w:p w:rsidR="007B4726" w:rsidRDefault="00644695"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2. Д</w:t>
      </w:r>
      <w:r w:rsidR="00153598">
        <w:rPr>
          <w:rFonts w:ascii="Times New Roman" w:hAnsi="Times New Roman"/>
          <w:sz w:val="28"/>
          <w:szCs w:val="28"/>
        </w:rPr>
        <w:t xml:space="preserve">оповнити </w:t>
      </w:r>
      <w:r w:rsidR="007B4726">
        <w:rPr>
          <w:rFonts w:ascii="Times New Roman" w:hAnsi="Times New Roman"/>
          <w:sz w:val="28"/>
          <w:szCs w:val="28"/>
        </w:rPr>
        <w:t>статтею 570</w:t>
      </w:r>
      <w:r w:rsidR="007B4726">
        <w:rPr>
          <w:rFonts w:ascii="Times New Roman" w:hAnsi="Times New Roman"/>
          <w:sz w:val="28"/>
          <w:szCs w:val="28"/>
          <w:vertAlign w:val="superscript"/>
        </w:rPr>
        <w:t>1</w:t>
      </w:r>
      <w:r w:rsidR="007B4726">
        <w:rPr>
          <w:rFonts w:ascii="Times New Roman" w:hAnsi="Times New Roman"/>
          <w:sz w:val="28"/>
          <w:szCs w:val="28"/>
        </w:rPr>
        <w:t xml:space="preserve"> такого змісту:</w:t>
      </w:r>
    </w:p>
    <w:p w:rsidR="00644695" w:rsidRPr="00644695" w:rsidRDefault="007B4726" w:rsidP="00644695">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w:t>
      </w:r>
      <w:r w:rsidR="00644695" w:rsidRPr="00644695">
        <w:rPr>
          <w:rFonts w:ascii="Times New Roman" w:hAnsi="Times New Roman"/>
          <w:sz w:val="28"/>
          <w:szCs w:val="28"/>
        </w:rPr>
        <w:t>Стаття 570</w:t>
      </w:r>
      <w:r w:rsidR="00644695" w:rsidRPr="00644695">
        <w:rPr>
          <w:rFonts w:ascii="Times New Roman" w:hAnsi="Times New Roman"/>
          <w:sz w:val="28"/>
          <w:szCs w:val="28"/>
          <w:vertAlign w:val="superscript"/>
        </w:rPr>
        <w:t>1</w:t>
      </w:r>
      <w:r w:rsidR="00644695" w:rsidRPr="00644695">
        <w:rPr>
          <w:rFonts w:ascii="Times New Roman" w:hAnsi="Times New Roman"/>
          <w:sz w:val="28"/>
          <w:szCs w:val="28"/>
        </w:rPr>
        <w:t xml:space="preserve">. Атестація посадових осіб митних органів </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1. З метою підтримання належного </w:t>
      </w:r>
      <w:bookmarkStart w:id="1" w:name="_Hlk37685303"/>
      <w:r w:rsidRPr="00644695">
        <w:rPr>
          <w:rFonts w:ascii="Times New Roman" w:hAnsi="Times New Roman"/>
          <w:sz w:val="28"/>
          <w:szCs w:val="28"/>
        </w:rPr>
        <w:t xml:space="preserve">рівня кваліфікації, професійної компетентності та підтвердження відповідності займаній посаді </w:t>
      </w:r>
      <w:bookmarkEnd w:id="1"/>
      <w:r w:rsidRPr="00644695">
        <w:rPr>
          <w:rFonts w:ascii="Times New Roman" w:hAnsi="Times New Roman"/>
          <w:sz w:val="28"/>
          <w:szCs w:val="28"/>
        </w:rPr>
        <w:t xml:space="preserve">посадові особи митних органів, які займають посади державної служби категорій “Б” і “В” та до повноважень яких належить організація, координація та здійснення завдань, передбачених пунктами 4-12, 14, 18 частини другої статті 544 цього Кодексу, підлягають первинній, періодичній, повторній та позачерговій атестації. Рішення про віднесення посад державної служби, проходження служби на яких підлягає атестації, приймається керівником </w:t>
      </w:r>
      <w:r w:rsidRPr="00644695">
        <w:rPr>
          <w:rFonts w:ascii="Times New Roman" w:hAnsi="Times New Roman"/>
          <w:sz w:val="28"/>
          <w:szCs w:val="28"/>
        </w:rPr>
        <w:lastRenderedPageBreak/>
        <w:t>центрального органу виконавчої влади, що реалізує державну митну політику.</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2. Атестація посадових осіб митних органів проводиться атестаційними комісіями з дотриманням таких принципів:</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1) поваги і дотримання прав та свобод людини і громадянина;</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2) законності;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3) офіційності та прозорості;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4) рівності;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5) об’єктивності, неупередженості та запобігання конфлікту інтересів;</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6) мінімізації впливу людського чинника.</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Порядок утворення атестаційних комісій, а також порядок організації та проведення атестацій визначається Кабінетом Міністрів України. </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3. Первинній атестації підлягають посадові особи:</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1) вперше призначені на посади в митних органах, </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2) які не виконували посадових обов’язків понад рік, але за якими відповідно до закону зберігалося місце роботи (посада),</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3) поновлені на посаді після звільнення,</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4) призначені на посади в митних органах шляхом переведення з іншого державного органу (крім митного).</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4. Первинна атестація проводиться до закінчення строку випробування, встановленого відповідно </w:t>
      </w:r>
      <w:r w:rsidR="00E32185">
        <w:rPr>
          <w:rFonts w:ascii="Times New Roman" w:hAnsi="Times New Roman"/>
          <w:sz w:val="28"/>
          <w:szCs w:val="28"/>
          <w:lang w:val="ru-RU"/>
        </w:rPr>
        <w:t xml:space="preserve">до </w:t>
      </w:r>
      <w:r w:rsidRPr="00644695">
        <w:rPr>
          <w:rFonts w:ascii="Times New Roman" w:hAnsi="Times New Roman"/>
          <w:sz w:val="28"/>
          <w:szCs w:val="28"/>
        </w:rPr>
        <w:t xml:space="preserve">статті 35 Закону України </w:t>
      </w:r>
      <w:r w:rsidR="00E32185" w:rsidRPr="00644695">
        <w:rPr>
          <w:rFonts w:ascii="Times New Roman" w:hAnsi="Times New Roman"/>
          <w:sz w:val="28"/>
          <w:szCs w:val="28"/>
        </w:rPr>
        <w:t>“</w:t>
      </w:r>
      <w:r w:rsidRPr="00644695">
        <w:rPr>
          <w:rFonts w:ascii="Times New Roman" w:hAnsi="Times New Roman"/>
          <w:sz w:val="28"/>
          <w:szCs w:val="28"/>
        </w:rPr>
        <w:t>Про державну службу</w:t>
      </w:r>
      <w:r w:rsidR="00E32185" w:rsidRPr="00644695">
        <w:rPr>
          <w:rFonts w:ascii="Times New Roman" w:hAnsi="Times New Roman"/>
          <w:sz w:val="28"/>
          <w:szCs w:val="28"/>
        </w:rPr>
        <w:t>”</w:t>
      </w:r>
      <w:r w:rsidRPr="00644695">
        <w:rPr>
          <w:rFonts w:ascii="Times New Roman" w:hAnsi="Times New Roman"/>
          <w:sz w:val="28"/>
          <w:szCs w:val="28"/>
        </w:rPr>
        <w:t>. Якщо таке випробування не встановлювався, первинна атестація проводиться не раніше ніж через чотири місяці і не пізніше ніж через шість місяців з дня призначення особи на посаду в митному органі або дня виходу на службу (для посадових осіб, зазначених у пунктах 2, 3 частини третьої цієї статті).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5. Періодична атестація посадових осіб митних органів проводиться один раз на три роки з дати проведення останньої атестації (первинної, періодичної, повторної або позачергової), незалежно від переведення осіб на інші посади, переукладання (продовження) контрактів тощо.</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Не підлягають періодичній атестації посадові особи митних органів, які: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перебувають у відпустці у зв’язку з вагітністю та пологами, у відпустці для догляду за дитиною;</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навчаються в закладах освіти за очною формою здобуття освіти;</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призвані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прийняті на військову службу за контрактом.</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lastRenderedPageBreak/>
        <w:t>6. Вагітні жінки проходять атестацію за власним бажанням.</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7. Письмова відмова посадової особи митного органу від проходження атестації є підставою для припинення державної служби такої особи.</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8. Проведення первинної атестації включає тестування на знання законодавства з питань митної справи, тестування на загальні здібності, зокрема абстрактне мислення, числове мислення, вербальне мислення, співбесіду щодо відповідності професійної компетентності посадової особи.</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9. Періодична, повторна та позачергова атестація включає тестування рівня знань спеціального законодавства, що пов’язане із завданнями та змістом роботи посадової особи, антикорупційного законодавства та співбесіду щодо відповідності професійної компетентності посадової особи.</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10. Позачергова атестація посадової особи митного органу проводиться у разі допущення нею суттєвих недоліків у роботі або за заявою посадової особи з метою захисту її честі та гідності.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Позачергова атестація посадової особи митного органу проводиться не раніше ніж через шість місяців після проходження посадовою особою митного органу первинної або періодичної атестації.</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bookmarkStart w:id="2" w:name="_Hlk89171716"/>
      <w:r w:rsidRPr="00644695">
        <w:rPr>
          <w:rFonts w:ascii="Times New Roman" w:hAnsi="Times New Roman"/>
          <w:sz w:val="28"/>
          <w:szCs w:val="28"/>
        </w:rPr>
        <w:t xml:space="preserve">11. Під час проведення співбесіди щодо відповідності професійної компетентності посадової особи атестаційною комісією враховуються (за наявності) результати проведених уповноваженими органами контролю та перевірки декларацій, моніторингу способу життя посадових осіб, спеціальних перевірок, скарги від підприємств та громадян, а також оцінюються ділові, моральні та професійні якості, виявлені посадовими особами при виконанні посадових обов'язків. </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Посадова особа під час проходження співбесіди має право подавати усні та письмові пояснення, заперечення, документи, доводи, міркування щодо підтвердження відповідності своєї професійної компетентності. </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12. Співбесіда щодо відповідності професійної компетентності посадової особи проводиться тільки в її присутності. На кожну посадову особу, яка підлягає атестації, безпосередній керівник складає характеристику, що подається атестаційній комісії після ознайомлення з нею посадової особи, але не пізніше ніж за тиждень до проведення атестації.</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Безпосередній керівник посадової особи, яка підлягає атестації, не може бути членом атестаційної комісії.</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Не допускається проведення співбесіди щодо відповідності професійної компетентності посадової особи за ознаками, що безпосередньо не пов’язані з виконуваними нею посадовими обов’язками.</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13. Письмові висновки атестаційної комісії про проведене оцінювання ділових, моральних та професійних якостей посадової особи, а також про результати проведених щодо неї уповноваженими органами контролю та перевірки декларацій, моніторингу способу життя, спеціальних перевірок з </w:t>
      </w:r>
      <w:r w:rsidRPr="00644695">
        <w:rPr>
          <w:rFonts w:ascii="Times New Roman" w:hAnsi="Times New Roman"/>
          <w:sz w:val="28"/>
          <w:szCs w:val="28"/>
        </w:rPr>
        <w:lastRenderedPageBreak/>
        <w:t>врахуванням наданих посадовою особою інформації та матеріалів, включаються до рішення комісії про результати проходження атестації із долученням відповідних документів та відомостей, на яких такі висновки ґрунтуються.</w:t>
      </w:r>
    </w:p>
    <w:bookmarkEnd w:id="2"/>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14. За результатами атестації посадової особи митного органу атестаційна комісія ухвалює одне з таких рішень з його обґрунтуванням: </w:t>
      </w:r>
    </w:p>
    <w:p w:rsidR="00644695" w:rsidRPr="00EC38E5" w:rsidRDefault="00644695" w:rsidP="00644695">
      <w:pPr>
        <w:tabs>
          <w:tab w:val="left" w:pos="851"/>
          <w:tab w:val="left" w:pos="993"/>
        </w:tabs>
        <w:spacing w:before="120"/>
        <w:ind w:firstLine="567"/>
        <w:jc w:val="both"/>
        <w:rPr>
          <w:rFonts w:ascii="Times New Roman" w:hAnsi="Times New Roman"/>
          <w:sz w:val="28"/>
          <w:szCs w:val="28"/>
        </w:rPr>
      </w:pPr>
      <w:r w:rsidRPr="00EC38E5">
        <w:rPr>
          <w:rFonts w:ascii="Times New Roman" w:hAnsi="Times New Roman"/>
          <w:sz w:val="28"/>
          <w:szCs w:val="28"/>
        </w:rPr>
        <w:t>1) про відповідність посадової особи митного органу займаній посаді;</w:t>
      </w:r>
    </w:p>
    <w:p w:rsidR="00644695" w:rsidRPr="00EC38E5" w:rsidRDefault="00644695" w:rsidP="00644695">
      <w:pPr>
        <w:tabs>
          <w:tab w:val="left" w:pos="851"/>
          <w:tab w:val="left" w:pos="993"/>
        </w:tabs>
        <w:spacing w:before="120"/>
        <w:ind w:firstLine="567"/>
        <w:jc w:val="both"/>
        <w:rPr>
          <w:rFonts w:ascii="Times New Roman" w:hAnsi="Times New Roman"/>
          <w:sz w:val="28"/>
          <w:szCs w:val="28"/>
        </w:rPr>
      </w:pPr>
      <w:r w:rsidRPr="00EC38E5">
        <w:rPr>
          <w:rFonts w:ascii="Times New Roman" w:hAnsi="Times New Roman"/>
          <w:sz w:val="28"/>
          <w:szCs w:val="28"/>
        </w:rPr>
        <w:t>2) про часткову відповідність посадової особи митного органу займаній посаді;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3) про невідповідність посадової особи митного органу займаній посаді.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Рішення атестаційної комісії про часткову відповідність або про невідповідність посадової особи митного органу займаній посаді (в тому числі за результатами проведення повторної атестації) може включати рекомендації суб’єкту призначення посадової особи, що проходила атестацію, з відповідними обґрунтуваннями щодо:</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1) переведення такої особи на нижчу посаду державної служби або іншу рівнозначну вакантну посаду, з урахуванням положень статті 41 Закону України </w:t>
      </w:r>
      <w:r w:rsidR="00E32185">
        <w:rPr>
          <w:rFonts w:ascii="Times New Roman" w:hAnsi="Times New Roman"/>
          <w:sz w:val="28"/>
          <w:szCs w:val="28"/>
        </w:rPr>
        <w:t>“</w:t>
      </w:r>
      <w:r w:rsidRPr="00644695">
        <w:rPr>
          <w:rFonts w:ascii="Times New Roman" w:hAnsi="Times New Roman"/>
          <w:sz w:val="28"/>
          <w:szCs w:val="28"/>
        </w:rPr>
        <w:t>Про державну службу</w:t>
      </w:r>
      <w:r w:rsidR="00E32185" w:rsidRPr="00644695">
        <w:rPr>
          <w:rFonts w:ascii="Times New Roman" w:hAnsi="Times New Roman"/>
          <w:sz w:val="28"/>
          <w:szCs w:val="28"/>
        </w:rPr>
        <w:t>”</w:t>
      </w:r>
      <w:r w:rsidRPr="00644695">
        <w:rPr>
          <w:rFonts w:ascii="Times New Roman" w:hAnsi="Times New Roman"/>
          <w:sz w:val="28"/>
          <w:szCs w:val="28"/>
        </w:rPr>
        <w:t>;</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2) направлення такої особи на підвищення кваліфікації;</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3) звільнення такої особи із займаної посади (тільки у разі прийняття рішення про її невідповідність займаній посаді).</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15. Рішення атестаційної комісії носить рекомендаційний характер та має бути доведено до посадової особи, щодо якої його прийнято, не пізніше 5 робочих днів з дня ухвалення.</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16. Посадова особа митного органу, яка не згодна з рішенням атестаційної комісії за результатами первинної або періодичної атестації, має право протягом 10 днів з дня ознайомлення з таким рішення подати атестаційній комісії заяву про проведення повторної атестації щодо себе. У такому разі повторна атестація проводиться не пізніше ніж за два місяці від дня отримання заяви про проведення повторної атестації.</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17. За результатами атестації рішення про подальше проходження служби посадовою особою, в тому числі щодо переведення посадової особи за її згодою на іншу посаду або  про звільнення з посади, приймається суб’єктом призначення такої посадової особи у 30-денний строк з дня прийняття рішення атестаційної комісії про результати атестації, але не раніше закінчення строку, передбаченого частиною шістнадцятою цієї статті на подання посадовою особою заяви про проведення повторної атестації. У випадку проведення повторної атестації, відповідне рішення про подальше проходження служби посадовою особою приймається суб’єктом призначення за результатами проведення такої атестації у 30-денний строк з дня отримання рішення атестаційної комісії.</w:t>
      </w:r>
    </w:p>
    <w:p w:rsidR="007B4726"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lastRenderedPageBreak/>
        <w:t>У разі неприйняття керівником митного органу відповідного рішення за результатами атестації, вважається що посадова особа митного органу успішно пройшла атестаці</w:t>
      </w:r>
      <w:r>
        <w:rPr>
          <w:rFonts w:ascii="Times New Roman" w:hAnsi="Times New Roman"/>
          <w:sz w:val="28"/>
          <w:szCs w:val="28"/>
        </w:rPr>
        <w:t>ю та відповідає займаній посаді</w:t>
      </w:r>
      <w:r w:rsidR="00153598">
        <w:rPr>
          <w:rFonts w:ascii="Times New Roman" w:hAnsi="Times New Roman"/>
          <w:sz w:val="28"/>
          <w:szCs w:val="28"/>
        </w:rPr>
        <w:t>”.</w:t>
      </w:r>
    </w:p>
    <w:p w:rsidR="00644695" w:rsidRDefault="00644695" w:rsidP="00644695">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3. У частині другій статті 572 слова “близькі родичі” замінити словами “</w:t>
      </w:r>
      <w:r w:rsidRPr="00644695">
        <w:rPr>
          <w:rFonts w:ascii="Times New Roman" w:hAnsi="Times New Roman"/>
          <w:sz w:val="28"/>
          <w:szCs w:val="28"/>
        </w:rPr>
        <w:t xml:space="preserve">близькі </w:t>
      </w:r>
      <w:r>
        <w:rPr>
          <w:rFonts w:ascii="Times New Roman" w:hAnsi="Times New Roman"/>
          <w:sz w:val="28"/>
          <w:szCs w:val="28"/>
        </w:rPr>
        <w:t>особи”.</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II.</w:t>
      </w:r>
      <w:r w:rsidRPr="00644695">
        <w:rPr>
          <w:rFonts w:ascii="Times New Roman" w:hAnsi="Times New Roman"/>
          <w:sz w:val="28"/>
          <w:szCs w:val="28"/>
        </w:rPr>
        <w:t> </w:t>
      </w:r>
      <w:r>
        <w:rPr>
          <w:rFonts w:ascii="Times New Roman" w:hAnsi="Times New Roman"/>
          <w:sz w:val="28"/>
          <w:szCs w:val="28"/>
        </w:rPr>
        <w:t>Прикінцеві положення</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1. Цей Закон набирає чинності через 45 днів з дня його опублікування.</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2. Кабінету Міністрів України протягом двох місяців з дня опублікування цього Закону:</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 xml:space="preserve">забезпечити прийняття нормативно-правових актів, необхідних для реалізації цього Закону; </w:t>
      </w:r>
    </w:p>
    <w:p w:rsidR="00644695" w:rsidRPr="00644695" w:rsidRDefault="00644695" w:rsidP="00644695">
      <w:pPr>
        <w:tabs>
          <w:tab w:val="left" w:pos="851"/>
          <w:tab w:val="left" w:pos="993"/>
        </w:tabs>
        <w:spacing w:before="120"/>
        <w:ind w:firstLine="567"/>
        <w:jc w:val="both"/>
        <w:rPr>
          <w:rFonts w:ascii="Times New Roman" w:hAnsi="Times New Roman"/>
          <w:sz w:val="28"/>
          <w:szCs w:val="28"/>
        </w:rPr>
      </w:pPr>
      <w:r w:rsidRPr="00644695">
        <w:rPr>
          <w:rFonts w:ascii="Times New Roman" w:hAnsi="Times New Roman"/>
          <w:sz w:val="28"/>
          <w:szCs w:val="28"/>
        </w:rPr>
        <w:t>привести власні нормативно-правові акти у відповідність із цим Законом;</w:t>
      </w:r>
    </w:p>
    <w:p w:rsidR="00644695" w:rsidRDefault="00644695" w:rsidP="00644695">
      <w:pPr>
        <w:tabs>
          <w:tab w:val="left" w:pos="851"/>
          <w:tab w:val="left" w:pos="993"/>
        </w:tabs>
        <w:spacing w:before="120"/>
        <w:ind w:firstLine="567"/>
        <w:jc w:val="both"/>
        <w:rPr>
          <w:rFonts w:ascii="Times New Roman" w:hAnsi="Times New Roman"/>
          <w:b/>
          <w:sz w:val="28"/>
          <w:szCs w:val="28"/>
        </w:rPr>
      </w:pPr>
      <w:r w:rsidRPr="00644695">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002B53D3">
        <w:rPr>
          <w:rFonts w:ascii="Times New Roman" w:hAnsi="Times New Roman"/>
          <w:b/>
          <w:sz w:val="28"/>
          <w:szCs w:val="28"/>
        </w:rPr>
        <w:t xml:space="preserve">   </w:t>
      </w:r>
    </w:p>
    <w:p w:rsidR="00644695" w:rsidRDefault="00644695" w:rsidP="00644695">
      <w:pPr>
        <w:tabs>
          <w:tab w:val="left" w:pos="851"/>
          <w:tab w:val="left" w:pos="993"/>
        </w:tabs>
        <w:spacing w:before="120"/>
        <w:ind w:firstLine="567"/>
        <w:jc w:val="both"/>
        <w:rPr>
          <w:rFonts w:ascii="Times New Roman" w:hAnsi="Times New Roman"/>
          <w:b/>
          <w:sz w:val="28"/>
          <w:szCs w:val="28"/>
        </w:rPr>
      </w:pPr>
    </w:p>
    <w:p w:rsidR="002B53D3" w:rsidRPr="004F402D" w:rsidRDefault="002B53D3" w:rsidP="00644695">
      <w:pPr>
        <w:tabs>
          <w:tab w:val="left" w:pos="851"/>
          <w:tab w:val="left" w:pos="993"/>
        </w:tabs>
        <w:spacing w:before="120"/>
        <w:ind w:firstLine="567"/>
        <w:jc w:val="both"/>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644695">
      <w:headerReference w:type="even" r:id="rId9"/>
      <w:headerReference w:type="default" r:id="rId10"/>
      <w:pgSz w:w="11906" w:h="16838" w:code="9"/>
      <w:pgMar w:top="1134" w:right="991"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BBD" w:rsidRDefault="00384BBD">
      <w:r>
        <w:separator/>
      </w:r>
    </w:p>
  </w:endnote>
  <w:endnote w:type="continuationSeparator" w:id="0">
    <w:p w:rsidR="00384BBD" w:rsidRDefault="00384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0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BBD" w:rsidRDefault="00384BBD">
      <w:r>
        <w:separator/>
      </w:r>
    </w:p>
  </w:footnote>
  <w:footnote w:type="continuationSeparator" w:id="0">
    <w:p w:rsidR="00384BBD" w:rsidRDefault="00384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Pr="00644695" w:rsidRDefault="00445A63">
    <w:pPr>
      <w:framePr w:wrap="around" w:vAnchor="text" w:hAnchor="margin" w:xAlign="center" w:y="1"/>
      <w:rPr>
        <w:rFonts w:ascii="Times New Roman" w:hAnsi="Times New Roman"/>
      </w:rPr>
    </w:pPr>
    <w:r w:rsidRPr="00644695">
      <w:rPr>
        <w:rFonts w:ascii="Times New Roman" w:hAnsi="Times New Roman"/>
      </w:rPr>
      <w:fldChar w:fldCharType="begin"/>
    </w:r>
    <w:r w:rsidRPr="00644695">
      <w:rPr>
        <w:rFonts w:ascii="Times New Roman" w:hAnsi="Times New Roman"/>
      </w:rPr>
      <w:instrText xml:space="preserve">PAGE  </w:instrText>
    </w:r>
    <w:r w:rsidRPr="00644695">
      <w:rPr>
        <w:rFonts w:ascii="Times New Roman" w:hAnsi="Times New Roman"/>
      </w:rPr>
      <w:fldChar w:fldCharType="separate"/>
    </w:r>
    <w:r w:rsidR="00F51B65">
      <w:rPr>
        <w:rFonts w:ascii="Times New Roman" w:hAnsi="Times New Roman"/>
        <w:noProof/>
      </w:rPr>
      <w:t>5</w:t>
    </w:r>
    <w:r w:rsidRPr="00644695">
      <w:rPr>
        <w:rFonts w:ascii="Times New Roman" w:hAnsi="Times New Roman"/>
      </w:rP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325F"/>
    <w:rsid w:val="0007034E"/>
    <w:rsid w:val="00070934"/>
    <w:rsid w:val="000A17A6"/>
    <w:rsid w:val="000C703E"/>
    <w:rsid w:val="000F3134"/>
    <w:rsid w:val="001054BE"/>
    <w:rsid w:val="00120E47"/>
    <w:rsid w:val="00146416"/>
    <w:rsid w:val="00153598"/>
    <w:rsid w:val="00216794"/>
    <w:rsid w:val="002223C5"/>
    <w:rsid w:val="00222A07"/>
    <w:rsid w:val="002729B5"/>
    <w:rsid w:val="002B53D3"/>
    <w:rsid w:val="002D5098"/>
    <w:rsid w:val="002F1A96"/>
    <w:rsid w:val="0030272F"/>
    <w:rsid w:val="003448A6"/>
    <w:rsid w:val="0036785B"/>
    <w:rsid w:val="00384BBD"/>
    <w:rsid w:val="00445A63"/>
    <w:rsid w:val="00455CFC"/>
    <w:rsid w:val="00484AEE"/>
    <w:rsid w:val="0053002C"/>
    <w:rsid w:val="005C3CB4"/>
    <w:rsid w:val="005F4706"/>
    <w:rsid w:val="006205CF"/>
    <w:rsid w:val="00635060"/>
    <w:rsid w:val="00644695"/>
    <w:rsid w:val="006C6D58"/>
    <w:rsid w:val="006C74F3"/>
    <w:rsid w:val="006F39FB"/>
    <w:rsid w:val="00707EFB"/>
    <w:rsid w:val="007370F8"/>
    <w:rsid w:val="00743821"/>
    <w:rsid w:val="00757FFD"/>
    <w:rsid w:val="00764C95"/>
    <w:rsid w:val="00780723"/>
    <w:rsid w:val="007B4726"/>
    <w:rsid w:val="007B5FAB"/>
    <w:rsid w:val="007D1318"/>
    <w:rsid w:val="008016F2"/>
    <w:rsid w:val="00891ED6"/>
    <w:rsid w:val="008D2D0D"/>
    <w:rsid w:val="008D506E"/>
    <w:rsid w:val="008E0FCE"/>
    <w:rsid w:val="00902C2E"/>
    <w:rsid w:val="00906AB0"/>
    <w:rsid w:val="00917736"/>
    <w:rsid w:val="00962339"/>
    <w:rsid w:val="00A455BA"/>
    <w:rsid w:val="00AC0738"/>
    <w:rsid w:val="00AD6988"/>
    <w:rsid w:val="00B14189"/>
    <w:rsid w:val="00B20BAE"/>
    <w:rsid w:val="00B76F4B"/>
    <w:rsid w:val="00BB56AD"/>
    <w:rsid w:val="00C3481E"/>
    <w:rsid w:val="00C362EA"/>
    <w:rsid w:val="00C91D1E"/>
    <w:rsid w:val="00CB19EF"/>
    <w:rsid w:val="00CB44E4"/>
    <w:rsid w:val="00CC4170"/>
    <w:rsid w:val="00CD3543"/>
    <w:rsid w:val="00D142B1"/>
    <w:rsid w:val="00D4191B"/>
    <w:rsid w:val="00E32185"/>
    <w:rsid w:val="00E42BAB"/>
    <w:rsid w:val="00E52375"/>
    <w:rsid w:val="00EC1DC8"/>
    <w:rsid w:val="00F27D0A"/>
    <w:rsid w:val="00F37B32"/>
    <w:rsid w:val="00F40800"/>
    <w:rsid w:val="00F44363"/>
    <w:rsid w:val="00F51B65"/>
    <w:rsid w:val="00FF3915"/>
    <w:rsid w:val="00FF7F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233436E-498E-4FE2-9D44-30AEB31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unhideWhenUsed/>
    <w:rsid w:val="007B4726"/>
    <w:pPr>
      <w:spacing w:before="100" w:beforeAutospacing="1" w:after="100" w:afterAutospacing="1"/>
    </w:pPr>
    <w:rPr>
      <w:rFonts w:ascii="Times New Roman" w:hAnsi="Times New Roman"/>
      <w:sz w:val="24"/>
      <w:szCs w:val="24"/>
      <w:lang w:eastAsia="uk-UA"/>
    </w:rPr>
  </w:style>
  <w:style w:type="paragraph" w:styleId="aa">
    <w:name w:val="List Paragraph"/>
    <w:basedOn w:val="a"/>
    <w:uiPriority w:val="34"/>
    <w:qFormat/>
    <w:rsid w:val="007B4726"/>
    <w:pPr>
      <w:spacing w:after="160" w:line="256" w:lineRule="auto"/>
      <w:ind w:left="720"/>
      <w:contextualSpacing/>
    </w:pPr>
    <w:rPr>
      <w:rFonts w:ascii="Calibri" w:eastAsia="Calibri" w:hAnsi="Calibri" w:cs="Calibri"/>
      <w:sz w:val="22"/>
      <w:szCs w:val="22"/>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46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955929-64A3-4011-892F-32876736FFC4}">
  <ds:schemaRefs>
    <ds:schemaRef ds:uri="http://schemas.microsoft.com/sharepoint/v3/contenttype/forms"/>
  </ds:schemaRefs>
</ds:datastoreItem>
</file>

<file path=customXml/itemProps2.xml><?xml version="1.0" encoding="utf-8"?>
<ds:datastoreItem xmlns:ds="http://schemas.openxmlformats.org/officeDocument/2006/customXml" ds:itemID="{4077C9DC-A6E8-4E30-83EF-05DDD3ECA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E6FA40-F4D3-45A2-824B-8D860170C5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6256</Words>
  <Characters>3567</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2022-01-18T14:43:00Z</dcterms:created>
  <dcterms:modified xsi:type="dcterms:W3CDTF">2022-01-18T14:43:00Z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