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F0A457" w14:textId="77777777" w:rsidR="009E360C" w:rsidRDefault="009E360C" w:rsidP="009E360C">
      <w:pPr>
        <w:jc w:val="center"/>
        <w:rPr>
          <w:b/>
          <w:sz w:val="28"/>
          <w:szCs w:val="28"/>
          <w:lang w:eastAsia="en-US"/>
        </w:rPr>
      </w:pPr>
      <w:bookmarkStart w:id="0" w:name="_GoBack"/>
      <w:bookmarkEnd w:id="0"/>
      <w:r>
        <w:rPr>
          <w:b/>
          <w:sz w:val="28"/>
          <w:szCs w:val="28"/>
        </w:rPr>
        <w:t>ПОРІВНЯЛЬНА ТАБЛИЦЯ</w:t>
      </w:r>
    </w:p>
    <w:p w14:paraId="2DDD8A8D" w14:textId="77777777" w:rsidR="009E360C" w:rsidRDefault="009E360C" w:rsidP="009E36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 проекту Закону України "Про внесення змін до Податкового кодексу України щодо подовження терміну тимчасового звільнення від оподаткування ПДВ відповідно до закону щодо фінансової реструктуризації"</w:t>
      </w:r>
    </w:p>
    <w:p w14:paraId="2719211C" w14:textId="77777777" w:rsidR="009E360C" w:rsidRDefault="009E360C" w:rsidP="009E360C">
      <w:pPr>
        <w:rPr>
          <w:b/>
          <w:sz w:val="28"/>
          <w:szCs w:val="28"/>
        </w:rPr>
      </w:pPr>
    </w:p>
    <w:tbl>
      <w:tblPr>
        <w:tblStyle w:val="a3"/>
        <w:tblW w:w="14596" w:type="dxa"/>
        <w:tblInd w:w="0" w:type="dxa"/>
        <w:tblLook w:val="04A0" w:firstRow="1" w:lastRow="0" w:firstColumn="1" w:lastColumn="0" w:noHBand="0" w:noVBand="1"/>
      </w:tblPr>
      <w:tblGrid>
        <w:gridCol w:w="7298"/>
        <w:gridCol w:w="7298"/>
      </w:tblGrid>
      <w:tr w:rsidR="009E360C" w14:paraId="1EA837DD" w14:textId="77777777" w:rsidTr="009E360C"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7F981" w14:textId="77777777" w:rsidR="009E360C" w:rsidRDefault="009E360C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положення (норми) чинного акта законодавства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8488" w14:textId="77777777" w:rsidR="009E360C" w:rsidRDefault="009E360C">
            <w:pPr>
              <w:spacing w:after="12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Зміст відповідного положення (норми) проекту акта</w:t>
            </w:r>
          </w:p>
        </w:tc>
      </w:tr>
      <w:tr w:rsidR="009E360C" w14:paraId="34946726" w14:textId="77777777" w:rsidTr="009E360C">
        <w:tc>
          <w:tcPr>
            <w:tcW w:w="145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3E6B0" w14:textId="77777777" w:rsidR="009E360C" w:rsidRPr="009E360C" w:rsidRDefault="009E360C">
            <w:pPr>
              <w:spacing w:after="120"/>
              <w:jc w:val="center"/>
              <w:rPr>
                <w:b/>
                <w:sz w:val="28"/>
                <w:szCs w:val="28"/>
                <w:lang w:val="uk-UA"/>
              </w:rPr>
            </w:pPr>
            <w:r w:rsidRPr="009E360C">
              <w:rPr>
                <w:b/>
                <w:sz w:val="28"/>
                <w:szCs w:val="28"/>
                <w:lang w:val="uk-UA"/>
              </w:rPr>
              <w:t>ПОДАТКОВИЙ КОДЕКС УКРАЇНИ</w:t>
            </w:r>
          </w:p>
          <w:p w14:paraId="1765B9C5" w14:textId="77777777" w:rsidR="009E360C" w:rsidRPr="009E360C" w:rsidRDefault="009E360C">
            <w:pPr>
              <w:spacing w:after="120"/>
              <w:jc w:val="center"/>
              <w:rPr>
                <w:b/>
                <w:sz w:val="28"/>
                <w:szCs w:val="28"/>
                <w:lang w:val="uk-UA"/>
              </w:rPr>
            </w:pPr>
            <w:r w:rsidRPr="009E360C">
              <w:rPr>
                <w:b/>
                <w:sz w:val="28"/>
                <w:szCs w:val="28"/>
                <w:lang w:val="uk-UA"/>
              </w:rPr>
              <w:t>(Відомості Верховної Ради України (ВВР), 2011, № 13-14, № 15-16, № 17, ст.112):</w:t>
            </w:r>
          </w:p>
        </w:tc>
      </w:tr>
      <w:tr w:rsidR="009E360C" w14:paraId="5AB02729" w14:textId="77777777" w:rsidTr="009E360C"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5F991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Підрозділ 2. Особливості справляння податку на додану вартість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40491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Підрозділ 2. Особливості справляння податку на додану вартість</w:t>
            </w:r>
          </w:p>
        </w:tc>
      </w:tr>
      <w:tr w:rsidR="009E360C" w14:paraId="69F68B92" w14:textId="77777777" w:rsidTr="009E360C"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2CBB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46. Тимчасово, </w:t>
            </w:r>
            <w:r>
              <w:rPr>
                <w:b/>
                <w:color w:val="333333"/>
                <w:sz w:val="28"/>
                <w:szCs w:val="28"/>
              </w:rPr>
              <w:t>до 1 січня 2023 року</w:t>
            </w:r>
            <w:r>
              <w:rPr>
                <w:color w:val="333333"/>
                <w:sz w:val="28"/>
                <w:szCs w:val="28"/>
              </w:rPr>
              <w:t>, звільняються від оподаткування податком на додану вартість операції:</w:t>
            </w:r>
          </w:p>
          <w:p w14:paraId="1D4FDDCC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1" w:name="n16067"/>
            <w:bookmarkEnd w:id="1"/>
            <w:r>
              <w:rPr>
                <w:color w:val="333333"/>
                <w:sz w:val="28"/>
                <w:szCs w:val="28"/>
              </w:rPr>
              <w:t xml:space="preserve">платників податку - боржника та/або поручителя (майнового поручителя - заставодавця, іпотекодавця) з постачання товарів для цілей погашення заборгованості боржника перед кредиторами відповідно до плану реструктуризації, підписаного згідно із законом щодо фінансової реструктуризації, або плану санації, затвердженого згідно із законодавством, що регулює відносини з питань відновлення платоспроможності боржника або визнання його банкрутом, з урахуванням особливостей, встановлених законом щодо фінансової реструктуризації. Під час здійснення операцій з постачання товарів, що звільняються від оподаткування податком на додану вартість згідно із цим пунктом, платники податку - боржник та/або поручитель (майновий поручитель - заставодавець, іпотекодавець) не застосовують </w:t>
            </w:r>
            <w:r>
              <w:rPr>
                <w:color w:val="333333"/>
                <w:sz w:val="28"/>
                <w:szCs w:val="28"/>
              </w:rPr>
              <w:lastRenderedPageBreak/>
              <w:t>норми </w:t>
            </w:r>
            <w:hyperlink r:id="rId10" w:anchor="n4951" w:history="1">
              <w:r>
                <w:rPr>
                  <w:rStyle w:val="aa"/>
                  <w:color w:val="006600"/>
                  <w:sz w:val="28"/>
                  <w:szCs w:val="28"/>
                </w:rPr>
                <w:t>пункту 198.5</w:t>
              </w:r>
            </w:hyperlink>
            <w:r>
              <w:rPr>
                <w:color w:val="333333"/>
                <w:sz w:val="28"/>
                <w:szCs w:val="28"/>
              </w:rPr>
              <w:t> статті 198 та </w:t>
            </w:r>
            <w:hyperlink r:id="rId11" w:anchor="n4968" w:history="1">
              <w:r>
                <w:rPr>
                  <w:rStyle w:val="aa"/>
                  <w:color w:val="006600"/>
                  <w:sz w:val="28"/>
                  <w:szCs w:val="28"/>
                </w:rPr>
                <w:t>пункту 199.1</w:t>
              </w:r>
            </w:hyperlink>
            <w:r>
              <w:rPr>
                <w:color w:val="333333"/>
                <w:sz w:val="28"/>
                <w:szCs w:val="28"/>
              </w:rPr>
              <w:t> статті 199 цього Кодексу щодо нарахування податкових зобов’язань або коригування раніше нарахованих податкових зобов’язань та/або сум податку, віднесених до податкового кредиту у зв’язку з таким постачанням;</w:t>
            </w:r>
          </w:p>
          <w:p w14:paraId="1BFCA91D" w14:textId="77777777" w:rsidR="009E360C" w:rsidRDefault="009E360C">
            <w:pPr>
              <w:pStyle w:val="ac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… </w:t>
            </w:r>
          </w:p>
          <w:p w14:paraId="46F07462" w14:textId="77777777" w:rsidR="009E360C" w:rsidRDefault="009E360C">
            <w:pPr>
              <w:pStyle w:val="ac"/>
              <w:tabs>
                <w:tab w:val="left" w:pos="1276"/>
              </w:tabs>
              <w:spacing w:before="0" w:after="60"/>
              <w:ind w:firstLine="0"/>
              <w:rPr>
                <w:rFonts w:ascii="Times New Roman" w:hAnsi="Times New Roman"/>
                <w:sz w:val="28"/>
                <w:szCs w:val="28"/>
              </w:rPr>
            </w:pPr>
            <w:bookmarkStart w:id="2" w:name="n18207"/>
            <w:bookmarkStart w:id="3" w:name="n18208"/>
            <w:bookmarkEnd w:id="2"/>
            <w:bookmarkEnd w:id="3"/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DABF2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bookmarkStart w:id="4" w:name="n6"/>
            <w:bookmarkEnd w:id="4"/>
            <w:r>
              <w:rPr>
                <w:color w:val="333333"/>
                <w:sz w:val="28"/>
                <w:szCs w:val="28"/>
              </w:rPr>
              <w:lastRenderedPageBreak/>
              <w:t xml:space="preserve">46. Тимчасово, </w:t>
            </w:r>
            <w:r>
              <w:rPr>
                <w:b/>
                <w:color w:val="333333"/>
                <w:sz w:val="28"/>
                <w:szCs w:val="28"/>
              </w:rPr>
              <w:t xml:space="preserve">до 01 січня 2028 року, </w:t>
            </w:r>
            <w:r>
              <w:rPr>
                <w:color w:val="333333"/>
                <w:sz w:val="28"/>
                <w:szCs w:val="28"/>
              </w:rPr>
              <w:t>звільняються від оподаткування податком на додану вартість операції:</w:t>
            </w:r>
          </w:p>
          <w:p w14:paraId="4EAA1C4F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  <w:sz w:val="28"/>
                <w:szCs w:val="28"/>
              </w:rPr>
              <w:t xml:space="preserve">платників податку - боржника та/або поручителя (майнового поручителя - заставодавця, іпотекодавця) з постачання товарів для цілей погашення заборгованості боржника перед кредиторами відповідно до плану реструктуризації, підписаного згідно із законом щодо фінансової реструктуризації, або плану санації, затвердженого згідно із законодавством, що регулює відносини з питань відновлення платоспроможності боржника або визнання його банкрутом, з урахуванням особливостей, встановлених законом щодо фінансової реструктуризації. Під час здійснення операцій з постачання товарів, що звільняються від оподаткування податком на додану вартість згідно із цим пунктом, платники податку - боржник та/або поручитель (майновий поручитель - заставодавець, іпотекодавець) не застосовують </w:t>
            </w:r>
            <w:r>
              <w:rPr>
                <w:color w:val="333333"/>
                <w:sz w:val="28"/>
                <w:szCs w:val="28"/>
              </w:rPr>
              <w:lastRenderedPageBreak/>
              <w:t>норми </w:t>
            </w:r>
            <w:hyperlink r:id="rId12" w:anchor="n4951" w:history="1">
              <w:r>
                <w:rPr>
                  <w:rStyle w:val="aa"/>
                  <w:color w:val="006600"/>
                  <w:sz w:val="28"/>
                  <w:szCs w:val="28"/>
                </w:rPr>
                <w:t>пункту 198.5</w:t>
              </w:r>
            </w:hyperlink>
            <w:r>
              <w:rPr>
                <w:color w:val="333333"/>
                <w:sz w:val="28"/>
                <w:szCs w:val="28"/>
              </w:rPr>
              <w:t> статті 198 та </w:t>
            </w:r>
            <w:hyperlink r:id="rId13" w:anchor="n4968" w:history="1">
              <w:r>
                <w:rPr>
                  <w:rStyle w:val="aa"/>
                  <w:color w:val="006600"/>
                  <w:sz w:val="28"/>
                  <w:szCs w:val="28"/>
                </w:rPr>
                <w:t>пункту 199.1</w:t>
              </w:r>
            </w:hyperlink>
            <w:r>
              <w:rPr>
                <w:color w:val="333333"/>
                <w:sz w:val="28"/>
                <w:szCs w:val="28"/>
              </w:rPr>
              <w:t> статті 199 цього Кодексу щодо нарахування податкових зобов’язань або коригування раніше нарахованих податкових зобов’язань та/або сум податку, віднесених до податкового кредиту у зв’язку з таким постачанням;</w:t>
            </w:r>
          </w:p>
          <w:p w14:paraId="6F0CE1C8" w14:textId="77777777" w:rsidR="009E360C" w:rsidRDefault="009E360C">
            <w:pPr>
              <w:pStyle w:val="ac"/>
              <w:tabs>
                <w:tab w:val="left" w:pos="1276"/>
              </w:tabs>
              <w:spacing w:before="0" w:after="60"/>
              <w:ind w:firstLine="397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 xml:space="preserve">… </w:t>
            </w:r>
          </w:p>
          <w:p w14:paraId="5C3EA2C0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</w:rPr>
            </w:pPr>
          </w:p>
        </w:tc>
      </w:tr>
      <w:tr w:rsidR="009E360C" w14:paraId="59FBC436" w14:textId="77777777" w:rsidTr="009E360C"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487E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lastRenderedPageBreak/>
              <w:t>Підрозділ 4. Особливості справляння податку на прибуток підприємств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CAC532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</w:rPr>
            </w:pPr>
            <w:r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Підрозділ 4. Особливості справляння податку на прибуток підприємств</w:t>
            </w:r>
          </w:p>
        </w:tc>
      </w:tr>
      <w:tr w:rsidR="009E360C" w14:paraId="2A96BD10" w14:textId="77777777" w:rsidTr="009E360C"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33C89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333333"/>
                <w:sz w:val="28"/>
                <w:szCs w:val="28"/>
                <w:lang w:val="uk-UA"/>
              </w:rPr>
            </w:pPr>
            <w:r>
              <w:rPr>
                <w:b/>
                <w:color w:val="333333"/>
                <w:sz w:val="28"/>
                <w:szCs w:val="28"/>
                <w:lang w:val="uk-UA"/>
              </w:rPr>
              <w:t>Відсутній</w:t>
            </w:r>
          </w:p>
        </w:tc>
        <w:tc>
          <w:tcPr>
            <w:tcW w:w="7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562358" w14:textId="77777777" w:rsidR="009E360C" w:rsidRDefault="009E360C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333333"/>
                <w:sz w:val="28"/>
                <w:szCs w:val="28"/>
                <w:lang w:val="uk-UA"/>
              </w:rPr>
            </w:pPr>
            <w:r w:rsidRPr="009E360C">
              <w:rPr>
                <w:color w:val="333333"/>
                <w:sz w:val="28"/>
                <w:lang w:val="uk-UA"/>
              </w:rPr>
              <w:t>«55-1. Фінансовий результат до оподаткування зменшується у періоді до 01 січня 2028 року на суму отриманих доходів, що виникають у результаті зменшення (припинення/ прощення) грошових зобов’язань відповідно до плану реструктуризації, підписаного згідно із законом щодо фінансової реструктуризації, а всі грошові зобов’язання розраховані відповідно до плану реструктуризації, підписаного згідно із законом щодо фінансової реструктуризації, визнаються їх теперішньою вартістю.».</w:t>
            </w:r>
            <w:r>
              <w:rPr>
                <w:rStyle w:val="rvts9"/>
                <w:bCs/>
                <w:color w:val="333333"/>
                <w:sz w:val="32"/>
                <w:szCs w:val="28"/>
                <w:lang w:val="uk-UA"/>
              </w:rPr>
              <w:t xml:space="preserve"> </w:t>
            </w:r>
          </w:p>
        </w:tc>
      </w:tr>
    </w:tbl>
    <w:p w14:paraId="73DFDD56" w14:textId="77777777" w:rsidR="009E360C" w:rsidRDefault="009E360C" w:rsidP="009E360C">
      <w:pPr>
        <w:spacing w:after="60"/>
        <w:ind w:firstLine="380"/>
        <w:jc w:val="both"/>
        <w:rPr>
          <w:b/>
          <w:sz w:val="28"/>
          <w:szCs w:val="28"/>
          <w:lang w:eastAsia="en-US"/>
        </w:rPr>
      </w:pPr>
    </w:p>
    <w:p w14:paraId="6E3B13DE" w14:textId="77777777" w:rsidR="009E360C" w:rsidRDefault="009E360C" w:rsidP="009E360C">
      <w:pPr>
        <w:spacing w:after="60"/>
        <w:ind w:firstLine="380"/>
        <w:jc w:val="both"/>
        <w:rPr>
          <w:rFonts w:eastAsiaTheme="minorHAnsi"/>
          <w:b/>
          <w:sz w:val="28"/>
          <w:szCs w:val="28"/>
        </w:rPr>
      </w:pPr>
      <w:r>
        <w:rPr>
          <w:b/>
          <w:sz w:val="28"/>
          <w:szCs w:val="28"/>
        </w:rPr>
        <w:t xml:space="preserve">Народні депутати України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А.В.  Мотовиловець  та ін. </w:t>
      </w:r>
      <w:r>
        <w:rPr>
          <w:b/>
          <w:sz w:val="28"/>
          <w:szCs w:val="28"/>
        </w:rPr>
        <w:tab/>
      </w:r>
    </w:p>
    <w:p w14:paraId="1D483457" w14:textId="77777777" w:rsidR="004575CF" w:rsidRPr="009E360C" w:rsidRDefault="004575CF" w:rsidP="009E360C"/>
    <w:sectPr w:rsidR="004575CF" w:rsidRPr="009E360C" w:rsidSect="0004694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6838" w:h="11906" w:orient="landscape"/>
      <w:pgMar w:top="1258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75E550" w14:textId="77777777" w:rsidR="00F921E1" w:rsidRDefault="00F921E1" w:rsidP="00A12E3B">
      <w:r>
        <w:separator/>
      </w:r>
    </w:p>
  </w:endnote>
  <w:endnote w:type="continuationSeparator" w:id="0">
    <w:p w14:paraId="25A45C23" w14:textId="77777777" w:rsidR="00F921E1" w:rsidRDefault="00F921E1" w:rsidP="00A12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5E" w14:textId="77777777" w:rsidR="00A12E3B" w:rsidRDefault="00A12E3B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5F" w14:textId="6819DF2A" w:rsidR="00A12E3B" w:rsidRDefault="00A12E3B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DD3CBD" w:rsidRPr="00DD3CBD">
      <w:rPr>
        <w:noProof/>
        <w:lang w:val="ru-RU"/>
      </w:rPr>
      <w:t>1</w:t>
    </w:r>
    <w:r>
      <w:fldChar w:fldCharType="end"/>
    </w:r>
  </w:p>
  <w:p w14:paraId="1D483460" w14:textId="77777777" w:rsidR="00A12E3B" w:rsidRDefault="00A12E3B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62" w14:textId="77777777" w:rsidR="00A12E3B" w:rsidRDefault="00A12E3B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32898D" w14:textId="77777777" w:rsidR="00F921E1" w:rsidRDefault="00F921E1" w:rsidP="00A12E3B">
      <w:r>
        <w:separator/>
      </w:r>
    </w:p>
  </w:footnote>
  <w:footnote w:type="continuationSeparator" w:id="0">
    <w:p w14:paraId="008C88AC" w14:textId="77777777" w:rsidR="00F921E1" w:rsidRDefault="00F921E1" w:rsidP="00A12E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5C" w14:textId="77777777" w:rsidR="00A12E3B" w:rsidRDefault="00A12E3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5D" w14:textId="77777777" w:rsidR="00A12E3B" w:rsidRDefault="00A12E3B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483461" w14:textId="77777777" w:rsidR="00A12E3B" w:rsidRDefault="00A12E3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BD7672"/>
    <w:multiLevelType w:val="hybridMultilevel"/>
    <w:tmpl w:val="DFA667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694C"/>
    <w:rsid w:val="00003B9B"/>
    <w:rsid w:val="0004043B"/>
    <w:rsid w:val="0004694C"/>
    <w:rsid w:val="000B00F6"/>
    <w:rsid w:val="000D1040"/>
    <w:rsid w:val="00143F21"/>
    <w:rsid w:val="00223AE4"/>
    <w:rsid w:val="002E4E0B"/>
    <w:rsid w:val="00377147"/>
    <w:rsid w:val="004575CF"/>
    <w:rsid w:val="004C1882"/>
    <w:rsid w:val="004D315E"/>
    <w:rsid w:val="00573A84"/>
    <w:rsid w:val="005D0CBB"/>
    <w:rsid w:val="005E59D6"/>
    <w:rsid w:val="00690ECF"/>
    <w:rsid w:val="006C38AF"/>
    <w:rsid w:val="006E475F"/>
    <w:rsid w:val="006E6BAA"/>
    <w:rsid w:val="0079272C"/>
    <w:rsid w:val="007E6790"/>
    <w:rsid w:val="008E3D93"/>
    <w:rsid w:val="009375D1"/>
    <w:rsid w:val="009B6EE8"/>
    <w:rsid w:val="009E360C"/>
    <w:rsid w:val="00A12E3B"/>
    <w:rsid w:val="00A462CD"/>
    <w:rsid w:val="00A961EC"/>
    <w:rsid w:val="00B342C1"/>
    <w:rsid w:val="00B64ED4"/>
    <w:rsid w:val="00B711C2"/>
    <w:rsid w:val="00BD12B9"/>
    <w:rsid w:val="00CC29A4"/>
    <w:rsid w:val="00CE40C5"/>
    <w:rsid w:val="00D425B9"/>
    <w:rsid w:val="00DD3CBD"/>
    <w:rsid w:val="00E42FBC"/>
    <w:rsid w:val="00F921E1"/>
    <w:rsid w:val="00FD1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D483443"/>
  <w14:defaultImageDpi w14:val="0"/>
  <w15:docId w15:val="{E2B00A69-CB67-46E2-AB30-C4783DD18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694C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9"/>
    <w:qFormat/>
    <w:rsid w:val="0004694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4694C"/>
    <w:rPr>
      <w:rFonts w:cs="Times New Roman"/>
      <w:b/>
      <w:sz w:val="36"/>
      <w:lang w:val="uk-UA" w:eastAsia="ru-RU"/>
    </w:rPr>
  </w:style>
  <w:style w:type="table" w:styleId="a3">
    <w:name w:val="Table Grid"/>
    <w:basedOn w:val="a1"/>
    <w:uiPriority w:val="39"/>
    <w:rsid w:val="0004694C"/>
    <w:rPr>
      <w:lang w:val="ru-RU"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1 Знак Знак Знак"/>
    <w:basedOn w:val="a"/>
    <w:uiPriority w:val="99"/>
    <w:rsid w:val="0004694C"/>
    <w:rPr>
      <w:rFonts w:ascii="Verdana" w:hAnsi="Verdana" w:cs="Verdana"/>
      <w:sz w:val="20"/>
      <w:szCs w:val="20"/>
      <w:lang w:val="en-US" w:eastAsia="en-US"/>
    </w:rPr>
  </w:style>
  <w:style w:type="paragraph" w:customStyle="1" w:styleId="ParagraphStyle">
    <w:name w:val="Paragraph Style"/>
    <w:uiPriority w:val="99"/>
    <w:rsid w:val="0004694C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  <w:lang w:val="ru-RU" w:eastAsia="ru-RU"/>
    </w:rPr>
  </w:style>
  <w:style w:type="character" w:customStyle="1" w:styleId="FontStyle">
    <w:name w:val="Font Style"/>
    <w:uiPriority w:val="99"/>
    <w:rsid w:val="0004694C"/>
    <w:rPr>
      <w:color w:val="000000"/>
      <w:sz w:val="20"/>
    </w:rPr>
  </w:style>
  <w:style w:type="paragraph" w:styleId="a4">
    <w:name w:val="header"/>
    <w:basedOn w:val="a"/>
    <w:link w:val="a5"/>
    <w:uiPriority w:val="99"/>
    <w:rsid w:val="00A12E3B"/>
    <w:pPr>
      <w:tabs>
        <w:tab w:val="center" w:pos="4819"/>
        <w:tab w:val="right" w:pos="9639"/>
      </w:tabs>
    </w:pPr>
  </w:style>
  <w:style w:type="paragraph" w:styleId="a6">
    <w:name w:val="footer"/>
    <w:basedOn w:val="a"/>
    <w:link w:val="a7"/>
    <w:uiPriority w:val="99"/>
    <w:rsid w:val="00A12E3B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link w:val="a4"/>
    <w:uiPriority w:val="99"/>
    <w:locked/>
    <w:rsid w:val="00A12E3B"/>
    <w:rPr>
      <w:rFonts w:cs="Times New Roman"/>
      <w:sz w:val="24"/>
      <w:szCs w:val="24"/>
      <w:lang w:val="uk-UA" w:eastAsia="x-none"/>
    </w:rPr>
  </w:style>
  <w:style w:type="paragraph" w:styleId="a8">
    <w:name w:val="Balloon Text"/>
    <w:basedOn w:val="a"/>
    <w:link w:val="a9"/>
    <w:uiPriority w:val="99"/>
    <w:semiHidden/>
    <w:rsid w:val="00573A84"/>
    <w:rPr>
      <w:rFonts w:ascii="Tahoma" w:hAnsi="Tahoma" w:cs="Tahoma"/>
      <w:sz w:val="16"/>
      <w:szCs w:val="16"/>
    </w:rPr>
  </w:style>
  <w:style w:type="character" w:customStyle="1" w:styleId="a7">
    <w:name w:val="Нижній колонтитул Знак"/>
    <w:link w:val="a6"/>
    <w:uiPriority w:val="99"/>
    <w:locked/>
    <w:rsid w:val="00A12E3B"/>
    <w:rPr>
      <w:rFonts w:cs="Times New Roman"/>
      <w:sz w:val="24"/>
      <w:szCs w:val="24"/>
      <w:lang w:val="uk-UA" w:eastAsia="x-none"/>
    </w:rPr>
  </w:style>
  <w:style w:type="character" w:customStyle="1" w:styleId="a9">
    <w:name w:val="Текст у виносці Знак"/>
    <w:link w:val="a8"/>
    <w:uiPriority w:val="99"/>
    <w:semiHidden/>
    <w:rPr>
      <w:rFonts w:ascii="Segoe UI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9E360C"/>
    <w:rPr>
      <w:color w:val="0000FF"/>
      <w:u w:val="single"/>
    </w:rPr>
  </w:style>
  <w:style w:type="paragraph" w:customStyle="1" w:styleId="rvps2">
    <w:name w:val="rvps2"/>
    <w:basedOn w:val="a"/>
    <w:rsid w:val="009E360C"/>
    <w:pPr>
      <w:spacing w:before="100" w:beforeAutospacing="1" w:after="100" w:afterAutospacing="1"/>
    </w:pPr>
    <w:rPr>
      <w:lang w:val="ru-RU"/>
    </w:rPr>
  </w:style>
  <w:style w:type="character" w:customStyle="1" w:styleId="ab">
    <w:name w:val="Нормальний текст Знак"/>
    <w:link w:val="ac"/>
    <w:uiPriority w:val="99"/>
    <w:locked/>
    <w:rsid w:val="009E360C"/>
    <w:rPr>
      <w:rFonts w:ascii="Antiqua" w:hAnsi="Antiqua"/>
      <w:sz w:val="26"/>
      <w:lang w:eastAsia="ru-RU"/>
    </w:rPr>
  </w:style>
  <w:style w:type="paragraph" w:customStyle="1" w:styleId="ac">
    <w:name w:val="Нормальний текст"/>
    <w:basedOn w:val="a"/>
    <w:link w:val="ab"/>
    <w:uiPriority w:val="99"/>
    <w:rsid w:val="009E360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9">
    <w:name w:val="rvts9"/>
    <w:basedOn w:val="a0"/>
    <w:rsid w:val="009E3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262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7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62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zakon.rada.gov.ua/rada/show/2755-17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hyperlink" Target="https://zakon.rada.gov.ua/rada/show/2755-17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2755-17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hyperlink" Target="https://zakon.rada.gov.ua/rada/show/2755-17" TargetMode="External"/><Relationship Id="rId19" Type="http://schemas.openxmlformats.org/officeDocument/2006/relationships/footer" Target="footer3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19DAD4-C724-4036-87B2-BA551581F32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8D4B2D2-AFAE-4A20-8C63-1CE061100F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99B5E8A-7C5A-40DC-9B15-AB81AC2286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2428</Words>
  <Characters>1385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2022-01-25T09:10:00Z</dcterms:created>
  <dcterms:modified xsi:type="dcterms:W3CDTF">2022-01-25T09:10:00Z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