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A13AFF" w14:textId="1F838D18" w:rsidR="008326ED" w:rsidRDefault="008326ED" w:rsidP="006A7268">
      <w:pPr>
        <w:jc w:val="center"/>
        <w:rPr>
          <w:b/>
          <w:bCs/>
          <w:color w:val="000000"/>
          <w:sz w:val="28"/>
          <w:szCs w:val="28"/>
        </w:rPr>
      </w:pPr>
      <w:bookmarkStart w:id="0" w:name="_GoBack"/>
      <w:bookmarkEnd w:id="0"/>
      <w:r>
        <w:rPr>
          <w:b/>
          <w:bCs/>
          <w:color w:val="000000"/>
          <w:sz w:val="28"/>
          <w:szCs w:val="28"/>
        </w:rPr>
        <w:t>ПОЯСНЮВАЛЬНА ЗАПИСКА</w:t>
      </w:r>
    </w:p>
    <w:p w14:paraId="41553AC2" w14:textId="3C881B96" w:rsidR="00776DD3" w:rsidRDefault="00776DD3" w:rsidP="006A7268">
      <w:pPr>
        <w:jc w:val="center"/>
      </w:pPr>
      <w:r>
        <w:rPr>
          <w:b/>
          <w:bCs/>
          <w:color w:val="000000"/>
          <w:sz w:val="28"/>
          <w:szCs w:val="28"/>
        </w:rPr>
        <w:t>до проекту закону «Про внесення змін до Податкового кодексу України щодо подовження терміну тимчасового звільнення від оподаткування ПДВ відповідно до закону щодо фінансової реструктуризації»</w:t>
      </w:r>
      <w:r>
        <w:br/>
      </w:r>
    </w:p>
    <w:p w14:paraId="7DBBF027" w14:textId="77777777" w:rsidR="00776DD3" w:rsidRDefault="00776DD3" w:rsidP="00776DD3">
      <w:pPr>
        <w:numPr>
          <w:ilvl w:val="0"/>
          <w:numId w:val="1"/>
        </w:numPr>
        <w:ind w:left="927"/>
        <w:textAlignment w:val="baseline"/>
        <w:rPr>
          <w:b/>
          <w:bCs/>
          <w:color w:val="000000"/>
          <w:sz w:val="28"/>
          <w:szCs w:val="28"/>
        </w:rPr>
      </w:pPr>
      <w:r>
        <w:rPr>
          <w:b/>
          <w:bCs/>
          <w:color w:val="000000"/>
          <w:sz w:val="28"/>
          <w:szCs w:val="28"/>
        </w:rPr>
        <w:t>Обґрунтування необхідності прийняття Закону</w:t>
      </w:r>
    </w:p>
    <w:p w14:paraId="2DF8FF01" w14:textId="77777777" w:rsidR="00776DD3" w:rsidRDefault="00776DD3" w:rsidP="00776DD3">
      <w:pPr>
        <w:ind w:firstLine="567"/>
        <w:jc w:val="both"/>
      </w:pPr>
      <w:r>
        <w:rPr>
          <w:color w:val="000000"/>
          <w:sz w:val="28"/>
          <w:szCs w:val="28"/>
        </w:rPr>
        <w:t xml:space="preserve">Закон України «Про фінансову реструктуризацію» </w:t>
      </w:r>
      <w:r>
        <w:rPr>
          <w:color w:val="333333"/>
          <w:sz w:val="28"/>
          <w:szCs w:val="28"/>
          <w:shd w:val="clear" w:color="auto" w:fill="FFFFFF"/>
        </w:rPr>
        <w:t>визначає умови та порядок проведення процедури добровільної фінансової реструктуризації боржника із вжиттям відповідних заходів. </w:t>
      </w:r>
    </w:p>
    <w:p w14:paraId="445BA680" w14:textId="77777777" w:rsidR="00776DD3" w:rsidRDefault="00776DD3" w:rsidP="00776DD3">
      <w:pPr>
        <w:shd w:val="clear" w:color="auto" w:fill="FFFFFF"/>
        <w:ind w:firstLine="450"/>
        <w:jc w:val="both"/>
      </w:pPr>
      <w:r>
        <w:rPr>
          <w:color w:val="333333"/>
          <w:sz w:val="28"/>
          <w:szCs w:val="28"/>
          <w:shd w:val="clear" w:color="auto" w:fill="FFFFFF"/>
        </w:rPr>
        <w:t>Основним критерієм для застосування вищезазначеного закону є наявність грошових зобов’язань. На даний час в законі визначено поняття «</w:t>
      </w:r>
      <w:r>
        <w:rPr>
          <w:color w:val="333333"/>
          <w:sz w:val="28"/>
          <w:szCs w:val="28"/>
        </w:rPr>
        <w:t>грошового зобов’язання» - як зобов’язання боржника сплатити кредитору певну грошову суму відповідно до цивільно-правового правочину (договору) та на інших підставах, передбачених законодавством України. До грошових зобов’язань належать також зобов’язання щодо сплати податків, зборів (обов’язкових платежів), крім страхових внесків на загальнообов’язкове державне пенсійне та інше соціальне страхування, зобов’язання, що виникають внаслідок неможливості виконання зобов’язань за договорами поставки, зберігання, підряду, найму (оренди), ренти тощо та мають бути виражені у грошових одиницях.</w:t>
      </w:r>
    </w:p>
    <w:p w14:paraId="0B0F4DE0" w14:textId="77777777" w:rsidR="00776DD3" w:rsidRDefault="00776DD3" w:rsidP="00776DD3">
      <w:pPr>
        <w:shd w:val="clear" w:color="auto" w:fill="FFFFFF"/>
        <w:ind w:firstLine="450"/>
        <w:jc w:val="both"/>
      </w:pPr>
      <w:r>
        <w:rPr>
          <w:color w:val="333333"/>
          <w:sz w:val="28"/>
          <w:szCs w:val="28"/>
        </w:rPr>
        <w:t>На рівні з приватними комерційними банками, в Україні діють банки з державною часткою в капіталі, наприклад: ПАТ АБ «Укргазбанк», АТ Державний ощадний банк України, АТ «Державний експортно-імпортний банк України», АТ КБ «Приватбанк». Тривалий час банківські установи видавали значні кредити, в наслідок чого суттєво зменшувався їх капітал, в наслідок несвоєчасного повернення коштів.  </w:t>
      </w:r>
    </w:p>
    <w:p w14:paraId="652B47E4" w14:textId="77777777" w:rsidR="00776DD3" w:rsidRDefault="00776DD3" w:rsidP="00776DD3">
      <w:pPr>
        <w:shd w:val="clear" w:color="auto" w:fill="FFFFFF"/>
        <w:ind w:firstLine="450"/>
        <w:jc w:val="both"/>
      </w:pPr>
      <w:r>
        <w:rPr>
          <w:color w:val="333333"/>
          <w:sz w:val="28"/>
          <w:szCs w:val="28"/>
        </w:rPr>
        <w:t>Міжнародні організації, в тому числі МВФ, вивчали ситуацію у банківській сфері та прийшли до висновку, що такі банки як АТ Державний ощадний банк України, АТ «Державний експортно-імпортний банк України» мають можливість кредитувати суб’єктів господарювання та економіку країни в цілому, однак до позичальників на даний час висуваються завищені вимоги.</w:t>
      </w:r>
    </w:p>
    <w:p w14:paraId="4871D48A" w14:textId="77777777" w:rsidR="00776DD3" w:rsidRDefault="00776DD3" w:rsidP="00776DD3">
      <w:pPr>
        <w:shd w:val="clear" w:color="auto" w:fill="FFFFFF"/>
        <w:ind w:firstLine="450"/>
        <w:jc w:val="both"/>
      </w:pPr>
      <w:r>
        <w:rPr>
          <w:color w:val="333333"/>
          <w:sz w:val="28"/>
          <w:szCs w:val="28"/>
        </w:rPr>
        <w:t>Аналіз ситуації на ринку кредитування говорить про те, що позичальники та банки в цілому готові до реструктуризації кредитів, однак має бути законодавче підґрунтя для реалізації цих бажань у відповідності до вимог законодавства. До того ж, потрібно знизити саму вартість кредитних коштів, аби більше суб’єктів могли отримати та повернути кредити.</w:t>
      </w:r>
    </w:p>
    <w:p w14:paraId="51F37C63" w14:textId="77777777" w:rsidR="00776DD3" w:rsidRDefault="00776DD3" w:rsidP="00776DD3">
      <w:pPr>
        <w:shd w:val="clear" w:color="auto" w:fill="FFFFFF"/>
        <w:ind w:firstLine="450"/>
        <w:jc w:val="both"/>
      </w:pPr>
      <w:r>
        <w:rPr>
          <w:color w:val="333333"/>
          <w:sz w:val="28"/>
          <w:szCs w:val="28"/>
        </w:rPr>
        <w:t xml:space="preserve">Наразі, банки мають проблеми зі своєчасністю повернення кредитних коштів, тому є необхідність законодавчого врегулювання цих питань, аби в подальшому банки могли продовжити кредитування. </w:t>
      </w:r>
      <w:r>
        <w:rPr>
          <w:color w:val="000000"/>
          <w:sz w:val="28"/>
          <w:szCs w:val="28"/>
        </w:rPr>
        <w:t>Наразі згідно норм ПК України, до суми доходів не включаються суми зменшення (прощення) грошових зобов’язань відповідно до плану реструктуризації, підписаного згідно із законом щодо фінансової реструктуризації. Натомість, ця норма є тимчасовою та діє до 01.01.2023 року, що явно не достатньо для відновлення банківського сектору в сфері кредитування, тому необхідним є збільшення цього терміну.</w:t>
      </w:r>
    </w:p>
    <w:p w14:paraId="04F7BC08" w14:textId="77777777" w:rsidR="00776DD3" w:rsidRDefault="00776DD3" w:rsidP="00776DD3">
      <w:pPr>
        <w:spacing w:after="240"/>
      </w:pPr>
    </w:p>
    <w:p w14:paraId="2EF53F1F" w14:textId="77777777" w:rsidR="00776DD3" w:rsidRDefault="00776DD3" w:rsidP="00776DD3">
      <w:pPr>
        <w:ind w:firstLine="567"/>
        <w:jc w:val="both"/>
      </w:pPr>
      <w:r>
        <w:rPr>
          <w:b/>
          <w:bCs/>
          <w:color w:val="000000"/>
          <w:sz w:val="28"/>
          <w:szCs w:val="28"/>
        </w:rPr>
        <w:t>2. Цілі та завдання законопроекту </w:t>
      </w:r>
    </w:p>
    <w:p w14:paraId="1183554B" w14:textId="77777777" w:rsidR="00776DD3" w:rsidRDefault="00776DD3" w:rsidP="00776DD3">
      <w:pPr>
        <w:shd w:val="clear" w:color="auto" w:fill="FFFFFF"/>
        <w:ind w:firstLine="450"/>
        <w:jc w:val="both"/>
      </w:pPr>
      <w:r>
        <w:lastRenderedPageBreak/>
        <w:t> </w:t>
      </w:r>
    </w:p>
    <w:p w14:paraId="766BC73B" w14:textId="77777777" w:rsidR="00776DD3" w:rsidRDefault="00776DD3" w:rsidP="00776DD3">
      <w:pPr>
        <w:shd w:val="clear" w:color="auto" w:fill="FFFFFF"/>
        <w:ind w:firstLine="450"/>
        <w:jc w:val="both"/>
      </w:pPr>
      <w:r>
        <w:rPr>
          <w:color w:val="000000"/>
          <w:sz w:val="28"/>
          <w:szCs w:val="28"/>
        </w:rPr>
        <w:t>Проект Закону розроблено з метою подовження терміну дії норми закону, при якій до суми доходів не включаються суми зменшення (прощення) грошових зобов’язань відповідно до плану реструктуризації, підписаного згідно із законом щодо фінансової реструктуризації.</w:t>
      </w:r>
    </w:p>
    <w:p w14:paraId="1FC709FD" w14:textId="77777777" w:rsidR="00776DD3" w:rsidRDefault="00776DD3" w:rsidP="00776DD3"/>
    <w:p w14:paraId="31D6E396" w14:textId="77777777" w:rsidR="00776DD3" w:rsidRDefault="00776DD3" w:rsidP="00776DD3">
      <w:pPr>
        <w:ind w:firstLine="567"/>
        <w:jc w:val="both"/>
      </w:pPr>
      <w:r>
        <w:rPr>
          <w:b/>
          <w:bCs/>
          <w:color w:val="000000"/>
          <w:sz w:val="28"/>
          <w:szCs w:val="28"/>
        </w:rPr>
        <w:t>3. Загальна характеристика і основні положення законопроекту </w:t>
      </w:r>
    </w:p>
    <w:p w14:paraId="1BE5BF92" w14:textId="77777777" w:rsidR="00776DD3" w:rsidRDefault="00776DD3" w:rsidP="00776DD3">
      <w:pPr>
        <w:spacing w:before="120"/>
        <w:ind w:firstLine="720"/>
        <w:jc w:val="both"/>
        <w:rPr>
          <w:sz w:val="28"/>
          <w:szCs w:val="28"/>
        </w:rPr>
      </w:pPr>
      <w:r>
        <w:rPr>
          <w:color w:val="000000"/>
          <w:sz w:val="28"/>
          <w:szCs w:val="28"/>
        </w:rPr>
        <w:t>Законопроектом пропонується внести зміни до пункту 46 підрозділу 2 розділу XX ПКУ, а саме: замінити слова «до 01 січня 2023 року» на «до 01 січня 2028 року». Крім того,  у підрозділі 4 розділу XX ПКУ пропонується додати пункт 55-1 наступного змісту: «Фінансовий результат до оподаткування зменшується у періоді до 01 січня 2028 року на суму отриманих доходів, що виникають у результаті зменшення (припинення/ прощення) грошових зобов’язань відповідно до плану реструктуризації, підписаного згідно із законом щодо фінансової реструктуризації, а всі грошові зобов’язання розраховані відповідно до плану реструктуризації, підписаного згідно із законом щодо фінансової реструктуризації, визнаються їх теперішньою вартістю».</w:t>
      </w:r>
    </w:p>
    <w:p w14:paraId="57F301DB" w14:textId="77777777" w:rsidR="00776DD3" w:rsidRDefault="00776DD3" w:rsidP="00776DD3">
      <w:pPr>
        <w:shd w:val="clear" w:color="auto" w:fill="FFFFFF"/>
        <w:ind w:firstLine="450"/>
        <w:jc w:val="both"/>
      </w:pPr>
      <w:r>
        <w:rPr>
          <w:color w:val="000000"/>
          <w:sz w:val="28"/>
          <w:szCs w:val="28"/>
        </w:rPr>
        <w:t> </w:t>
      </w:r>
    </w:p>
    <w:p w14:paraId="209B02C8" w14:textId="77777777" w:rsidR="00776DD3" w:rsidRDefault="00776DD3" w:rsidP="00776DD3"/>
    <w:p w14:paraId="75C66C6C" w14:textId="77777777" w:rsidR="00776DD3" w:rsidRDefault="00776DD3" w:rsidP="00776DD3">
      <w:pPr>
        <w:ind w:firstLine="567"/>
        <w:jc w:val="both"/>
      </w:pPr>
      <w:r>
        <w:rPr>
          <w:b/>
          <w:bCs/>
          <w:color w:val="000000"/>
          <w:sz w:val="28"/>
          <w:szCs w:val="28"/>
        </w:rPr>
        <w:t>4. Стан нормативно-правової бази у зазначеній сфері правового регулювання</w:t>
      </w:r>
    </w:p>
    <w:p w14:paraId="583A6D29" w14:textId="77777777" w:rsidR="00776DD3" w:rsidRDefault="00776DD3" w:rsidP="00776DD3">
      <w:pPr>
        <w:ind w:firstLine="567"/>
        <w:jc w:val="both"/>
      </w:pPr>
      <w:r>
        <w:rPr>
          <w:color w:val="000000"/>
          <w:sz w:val="28"/>
          <w:szCs w:val="28"/>
        </w:rPr>
        <w:t>Регулювання правовідносин у зазначеній сфері здійснюється Конституцією України, Податковим кодексом України, Кодексом України з процедур банкрутства, Законами України «</w:t>
      </w:r>
      <w:r>
        <w:rPr>
          <w:color w:val="333333"/>
          <w:sz w:val="28"/>
          <w:szCs w:val="28"/>
        </w:rPr>
        <w:t>Про фінансову реструктуризацію</w:t>
      </w:r>
      <w:r>
        <w:rPr>
          <w:color w:val="000000"/>
          <w:sz w:val="28"/>
          <w:szCs w:val="28"/>
        </w:rPr>
        <w:t>», «Про банки та банківську діяльність», «Про захист економічної конкуренції», «</w:t>
      </w:r>
      <w:r>
        <w:rPr>
          <w:color w:val="333333"/>
          <w:sz w:val="28"/>
          <w:szCs w:val="28"/>
          <w:shd w:val="clear" w:color="auto" w:fill="FFFFFF"/>
        </w:rPr>
        <w:t>Про забезпечення вимог кредиторів та реєстрацію обтяжень</w:t>
      </w:r>
      <w:r>
        <w:rPr>
          <w:color w:val="000000"/>
          <w:sz w:val="28"/>
          <w:szCs w:val="28"/>
        </w:rPr>
        <w:t>».</w:t>
      </w:r>
    </w:p>
    <w:p w14:paraId="547A9689" w14:textId="77777777" w:rsidR="00776DD3" w:rsidRDefault="00776DD3" w:rsidP="00776DD3">
      <w:pPr>
        <w:ind w:firstLine="567"/>
        <w:jc w:val="both"/>
      </w:pPr>
      <w:r>
        <w:rPr>
          <w:color w:val="000000"/>
          <w:sz w:val="28"/>
          <w:szCs w:val="28"/>
        </w:rPr>
        <w:t>Прийняття Закону України «Про внесення змін до Податкового кодексу України щодо подовження терміну тимчасового звільнення від оподаткування ПДВ відповідно до закону щодо фінансової реструктуризації» потребуватиме внесення змін до деяких актів Кабінету Міністрів України, Міністерства фінансів України, Національного банку України.</w:t>
      </w:r>
    </w:p>
    <w:p w14:paraId="7DEDDB09" w14:textId="77777777" w:rsidR="00776DD3" w:rsidRDefault="00776DD3" w:rsidP="00776DD3">
      <w:pPr>
        <w:spacing w:after="240"/>
      </w:pPr>
    </w:p>
    <w:p w14:paraId="28F8DD3C" w14:textId="77777777" w:rsidR="00776DD3" w:rsidRDefault="00776DD3" w:rsidP="00776DD3">
      <w:pPr>
        <w:ind w:firstLine="567"/>
        <w:jc w:val="both"/>
      </w:pPr>
      <w:r>
        <w:rPr>
          <w:b/>
          <w:bCs/>
          <w:color w:val="000000"/>
          <w:sz w:val="28"/>
          <w:szCs w:val="28"/>
        </w:rPr>
        <w:t>5. Фінансово-економічне обґрунтування</w:t>
      </w:r>
    </w:p>
    <w:p w14:paraId="6E4C0F1A" w14:textId="77777777" w:rsidR="00776DD3" w:rsidRDefault="00776DD3" w:rsidP="00776DD3">
      <w:pPr>
        <w:ind w:firstLine="567"/>
        <w:jc w:val="both"/>
      </w:pPr>
      <w:r>
        <w:rPr>
          <w:color w:val="000000"/>
          <w:sz w:val="28"/>
          <w:szCs w:val="28"/>
        </w:rPr>
        <w:t>Реалізація положень Закону не потребує додаткових витрат з Державного бюджету України.</w:t>
      </w:r>
    </w:p>
    <w:p w14:paraId="76EC3D25" w14:textId="77777777" w:rsidR="00776DD3" w:rsidRDefault="00776DD3" w:rsidP="00776DD3"/>
    <w:p w14:paraId="5FF2B970" w14:textId="77777777" w:rsidR="00776DD3" w:rsidRDefault="00776DD3" w:rsidP="00776DD3">
      <w:pPr>
        <w:ind w:firstLine="567"/>
        <w:jc w:val="both"/>
      </w:pPr>
      <w:r>
        <w:rPr>
          <w:b/>
          <w:bCs/>
          <w:color w:val="000000"/>
          <w:sz w:val="28"/>
          <w:szCs w:val="28"/>
        </w:rPr>
        <w:t>6. Прогноз соціально-економічних та інших наслідків прийняття Закону </w:t>
      </w:r>
    </w:p>
    <w:p w14:paraId="7DC0E768" w14:textId="77777777" w:rsidR="00776DD3" w:rsidRDefault="00776DD3" w:rsidP="00776DD3">
      <w:pPr>
        <w:shd w:val="clear" w:color="auto" w:fill="FFFFFF"/>
        <w:ind w:firstLine="450"/>
        <w:jc w:val="both"/>
      </w:pPr>
      <w:r>
        <w:rPr>
          <w:color w:val="000000"/>
          <w:sz w:val="28"/>
          <w:szCs w:val="28"/>
        </w:rPr>
        <w:t xml:space="preserve">  Запропонований проект Закону України дасть змогу ефективніше </w:t>
      </w:r>
      <w:r>
        <w:rPr>
          <w:color w:val="333333"/>
          <w:sz w:val="28"/>
          <w:szCs w:val="28"/>
          <w:shd w:val="clear" w:color="auto" w:fill="FFFFFF"/>
        </w:rPr>
        <w:t>реалізовувати проведення процедури добровільної фінансової реструктуризації боржника. </w:t>
      </w:r>
    </w:p>
    <w:p w14:paraId="6C7A8C4C" w14:textId="77777777" w:rsidR="00776DD3" w:rsidRDefault="00776DD3" w:rsidP="00776DD3">
      <w:pPr>
        <w:spacing w:after="240"/>
      </w:pPr>
    </w:p>
    <w:p w14:paraId="346521D7" w14:textId="2271BA3B" w:rsidR="00776DD3" w:rsidRDefault="00776DD3" w:rsidP="00776DD3">
      <w:r>
        <w:rPr>
          <w:b/>
          <w:bCs/>
          <w:color w:val="000000"/>
          <w:sz w:val="28"/>
          <w:szCs w:val="28"/>
        </w:rPr>
        <w:t xml:space="preserve">Народні депутати України  </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Мотовиловець А.В.</w:t>
      </w:r>
      <w:r w:rsidR="008326ED">
        <w:rPr>
          <w:b/>
          <w:bCs/>
          <w:color w:val="000000"/>
          <w:sz w:val="28"/>
          <w:szCs w:val="28"/>
        </w:rPr>
        <w:t xml:space="preserve"> та ін.</w:t>
      </w:r>
      <w:r w:rsidR="008326ED">
        <w:rPr>
          <w:b/>
          <w:bCs/>
          <w:color w:val="000000"/>
          <w:sz w:val="28"/>
          <w:szCs w:val="28"/>
        </w:rPr>
        <w:br/>
      </w:r>
      <w:r w:rsidR="008326ED">
        <w:rPr>
          <w:b/>
          <w:bCs/>
          <w:color w:val="000000"/>
          <w:sz w:val="28"/>
          <w:szCs w:val="28"/>
        </w:rPr>
        <w:tab/>
      </w:r>
      <w:r w:rsidR="008326ED">
        <w:rPr>
          <w:b/>
          <w:bCs/>
          <w:color w:val="000000"/>
          <w:sz w:val="28"/>
          <w:szCs w:val="28"/>
        </w:rPr>
        <w:tab/>
      </w:r>
      <w:r w:rsidR="008326ED">
        <w:rPr>
          <w:b/>
          <w:bCs/>
          <w:color w:val="000000"/>
          <w:sz w:val="28"/>
          <w:szCs w:val="28"/>
        </w:rPr>
        <w:tab/>
        <w:t>    </w:t>
      </w:r>
    </w:p>
    <w:p w14:paraId="26D0140B" w14:textId="77777777" w:rsidR="00776DD3" w:rsidRDefault="00776DD3" w:rsidP="00776DD3">
      <w:pPr>
        <w:rPr>
          <w:rFonts w:asciiTheme="minorHAnsi" w:eastAsiaTheme="minorHAnsi" w:hAnsiTheme="minorHAnsi" w:cstheme="minorBidi"/>
          <w:sz w:val="22"/>
          <w:szCs w:val="22"/>
        </w:rPr>
      </w:pPr>
    </w:p>
    <w:p w14:paraId="7842175E" w14:textId="10C916B8" w:rsidR="008A5090" w:rsidRPr="008E3D93" w:rsidRDefault="008A5090" w:rsidP="008E3D93">
      <w:pPr>
        <w:jc w:val="both"/>
        <w:rPr>
          <w:sz w:val="28"/>
          <w:szCs w:val="28"/>
        </w:rPr>
      </w:pPr>
    </w:p>
    <w:sectPr w:rsidR="008A5090" w:rsidRPr="008E3D93" w:rsidSect="00932E98">
      <w:footerReference w:type="even" r:id="rId10"/>
      <w:footerReference w:type="default" r:id="rId11"/>
      <w:pgSz w:w="11906" w:h="16838"/>
      <w:pgMar w:top="719" w:right="926"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24119" w14:textId="77777777" w:rsidR="007006A1" w:rsidRDefault="007006A1" w:rsidP="00AC1DB6">
      <w:r>
        <w:separator/>
      </w:r>
    </w:p>
  </w:endnote>
  <w:endnote w:type="continuationSeparator" w:id="0">
    <w:p w14:paraId="5247747D" w14:textId="77777777" w:rsidR="007006A1" w:rsidRDefault="007006A1" w:rsidP="00AC1DB6">
      <w:r>
        <w:continuationSeparator/>
      </w:r>
    </w:p>
  </w:endnote>
  <w:endnote w:type="continuationNotice" w:id="1">
    <w:p w14:paraId="0C2F40A4" w14:textId="77777777" w:rsidR="007006A1" w:rsidRDefault="00700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21763" w14:textId="77777777" w:rsidR="008E3D93" w:rsidRDefault="008E3D93" w:rsidP="002B20AC">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71C71">
      <w:rPr>
        <w:rStyle w:val="a9"/>
        <w:noProof/>
      </w:rPr>
      <w:t>2</w:t>
    </w:r>
    <w:r>
      <w:rPr>
        <w:rStyle w:val="a9"/>
      </w:rPr>
      <w:fldChar w:fldCharType="end"/>
    </w:r>
  </w:p>
  <w:p w14:paraId="78421764" w14:textId="77777777" w:rsidR="00DE3929" w:rsidRDefault="00DE392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21765" w14:textId="7278DB72" w:rsidR="008E3D93" w:rsidRDefault="008E3D93" w:rsidP="002B20AC">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4D16C5">
      <w:rPr>
        <w:rStyle w:val="a9"/>
        <w:noProof/>
      </w:rPr>
      <w:t>2</w:t>
    </w:r>
    <w:r>
      <w:rPr>
        <w:rStyle w:val="a9"/>
      </w:rPr>
      <w:fldChar w:fldCharType="end"/>
    </w:r>
  </w:p>
  <w:p w14:paraId="78421766" w14:textId="77777777" w:rsidR="00DE3929" w:rsidRDefault="00DE392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B1336" w14:textId="77777777" w:rsidR="007006A1" w:rsidRDefault="007006A1" w:rsidP="00AC1DB6">
      <w:r>
        <w:separator/>
      </w:r>
    </w:p>
  </w:footnote>
  <w:footnote w:type="continuationSeparator" w:id="0">
    <w:p w14:paraId="5B8E684E" w14:textId="77777777" w:rsidR="007006A1" w:rsidRDefault="007006A1" w:rsidP="00AC1DB6">
      <w:r>
        <w:continuationSeparator/>
      </w:r>
    </w:p>
  </w:footnote>
  <w:footnote w:type="continuationNotice" w:id="1">
    <w:p w14:paraId="381F36D8" w14:textId="77777777" w:rsidR="007006A1" w:rsidRDefault="007006A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1CF0621C"/>
    <w:multiLevelType w:val="hybridMultilevel"/>
    <w:tmpl w:val="B2E2045C"/>
    <w:lvl w:ilvl="0" w:tplc="574EC616">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42766A6A"/>
    <w:multiLevelType w:val="hybridMultilevel"/>
    <w:tmpl w:val="FE548288"/>
    <w:lvl w:ilvl="0" w:tplc="8C44B908">
      <w:start w:val="6"/>
      <w:numFmt w:val="bullet"/>
      <w:lvlText w:val="-"/>
      <w:lvlJc w:val="left"/>
      <w:pPr>
        <w:tabs>
          <w:tab w:val="num" w:pos="1080"/>
        </w:tabs>
        <w:ind w:left="1080" w:hanging="72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C55C91"/>
    <w:multiLevelType w:val="multilevel"/>
    <w:tmpl w:val="8E26D8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54020D0"/>
    <w:multiLevelType w:val="hybridMultilevel"/>
    <w:tmpl w:val="8320D334"/>
    <w:lvl w:ilvl="0" w:tplc="123A976C">
      <w:start w:val="1"/>
      <w:numFmt w:val="bullet"/>
      <w:lvlText w:val="-"/>
      <w:lvlJc w:val="left"/>
      <w:pPr>
        <w:ind w:left="1000" w:hanging="360"/>
      </w:pPr>
      <w:rPr>
        <w:rFonts w:ascii="Times New Roman" w:eastAsia="Times New Roman" w:hAnsi="Times New Roman" w:hint="default"/>
      </w:rPr>
    </w:lvl>
    <w:lvl w:ilvl="1" w:tplc="04220003">
      <w:start w:val="1"/>
      <w:numFmt w:val="bullet"/>
      <w:lvlText w:val="o"/>
      <w:lvlJc w:val="left"/>
      <w:pPr>
        <w:ind w:left="1720" w:hanging="360"/>
      </w:pPr>
      <w:rPr>
        <w:rFonts w:ascii="Courier New" w:hAnsi="Courier New" w:hint="default"/>
      </w:rPr>
    </w:lvl>
    <w:lvl w:ilvl="2" w:tplc="04220005">
      <w:start w:val="1"/>
      <w:numFmt w:val="bullet"/>
      <w:lvlText w:val=""/>
      <w:lvlJc w:val="left"/>
      <w:pPr>
        <w:ind w:left="2440" w:hanging="360"/>
      </w:pPr>
      <w:rPr>
        <w:rFonts w:ascii="Wingdings" w:hAnsi="Wingdings" w:hint="default"/>
      </w:rPr>
    </w:lvl>
    <w:lvl w:ilvl="3" w:tplc="04220001">
      <w:start w:val="1"/>
      <w:numFmt w:val="bullet"/>
      <w:lvlText w:val=""/>
      <w:lvlJc w:val="left"/>
      <w:pPr>
        <w:ind w:left="3160" w:hanging="360"/>
      </w:pPr>
      <w:rPr>
        <w:rFonts w:ascii="Symbol" w:hAnsi="Symbol" w:hint="default"/>
      </w:rPr>
    </w:lvl>
    <w:lvl w:ilvl="4" w:tplc="04220003">
      <w:start w:val="1"/>
      <w:numFmt w:val="bullet"/>
      <w:lvlText w:val="o"/>
      <w:lvlJc w:val="left"/>
      <w:pPr>
        <w:ind w:left="3880" w:hanging="360"/>
      </w:pPr>
      <w:rPr>
        <w:rFonts w:ascii="Courier New" w:hAnsi="Courier New" w:hint="default"/>
      </w:rPr>
    </w:lvl>
    <w:lvl w:ilvl="5" w:tplc="04220005">
      <w:start w:val="1"/>
      <w:numFmt w:val="bullet"/>
      <w:lvlText w:val=""/>
      <w:lvlJc w:val="left"/>
      <w:pPr>
        <w:ind w:left="4600" w:hanging="360"/>
      </w:pPr>
      <w:rPr>
        <w:rFonts w:ascii="Wingdings" w:hAnsi="Wingdings" w:hint="default"/>
      </w:rPr>
    </w:lvl>
    <w:lvl w:ilvl="6" w:tplc="04220001">
      <w:start w:val="1"/>
      <w:numFmt w:val="bullet"/>
      <w:lvlText w:val=""/>
      <w:lvlJc w:val="left"/>
      <w:pPr>
        <w:ind w:left="5320" w:hanging="360"/>
      </w:pPr>
      <w:rPr>
        <w:rFonts w:ascii="Symbol" w:hAnsi="Symbol" w:hint="default"/>
      </w:rPr>
    </w:lvl>
    <w:lvl w:ilvl="7" w:tplc="04220003">
      <w:start w:val="1"/>
      <w:numFmt w:val="bullet"/>
      <w:lvlText w:val="o"/>
      <w:lvlJc w:val="left"/>
      <w:pPr>
        <w:ind w:left="6040" w:hanging="360"/>
      </w:pPr>
      <w:rPr>
        <w:rFonts w:ascii="Courier New" w:hAnsi="Courier New" w:hint="default"/>
      </w:rPr>
    </w:lvl>
    <w:lvl w:ilvl="8" w:tplc="04220005">
      <w:start w:val="1"/>
      <w:numFmt w:val="bullet"/>
      <w:lvlText w:val=""/>
      <w:lvlJc w:val="left"/>
      <w:pPr>
        <w:ind w:left="676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3B9B"/>
    <w:rsid w:val="0000585B"/>
    <w:rsid w:val="00011891"/>
    <w:rsid w:val="00016598"/>
    <w:rsid w:val="00020A68"/>
    <w:rsid w:val="000319DE"/>
    <w:rsid w:val="00037F36"/>
    <w:rsid w:val="00041972"/>
    <w:rsid w:val="00043712"/>
    <w:rsid w:val="00046F35"/>
    <w:rsid w:val="00053361"/>
    <w:rsid w:val="000828EA"/>
    <w:rsid w:val="00096BEA"/>
    <w:rsid w:val="000B0323"/>
    <w:rsid w:val="000B0393"/>
    <w:rsid w:val="000B57DA"/>
    <w:rsid w:val="000D047F"/>
    <w:rsid w:val="000E059E"/>
    <w:rsid w:val="000F1283"/>
    <w:rsid w:val="0010342E"/>
    <w:rsid w:val="00125BCF"/>
    <w:rsid w:val="001307E6"/>
    <w:rsid w:val="001461EE"/>
    <w:rsid w:val="00173BA1"/>
    <w:rsid w:val="001A4865"/>
    <w:rsid w:val="001A5B0B"/>
    <w:rsid w:val="001B4F00"/>
    <w:rsid w:val="001C2410"/>
    <w:rsid w:val="001E4F3E"/>
    <w:rsid w:val="002036F1"/>
    <w:rsid w:val="0021316E"/>
    <w:rsid w:val="0021718A"/>
    <w:rsid w:val="002238E4"/>
    <w:rsid w:val="0024646D"/>
    <w:rsid w:val="00247C83"/>
    <w:rsid w:val="00254624"/>
    <w:rsid w:val="002647C6"/>
    <w:rsid w:val="002B059B"/>
    <w:rsid w:val="002B20AC"/>
    <w:rsid w:val="002C3EEB"/>
    <w:rsid w:val="002F19D4"/>
    <w:rsid w:val="002F2D49"/>
    <w:rsid w:val="002F7622"/>
    <w:rsid w:val="00303385"/>
    <w:rsid w:val="003165B8"/>
    <w:rsid w:val="00333398"/>
    <w:rsid w:val="00337E20"/>
    <w:rsid w:val="003507C2"/>
    <w:rsid w:val="00373A5B"/>
    <w:rsid w:val="00377147"/>
    <w:rsid w:val="003C10BD"/>
    <w:rsid w:val="003D5AE0"/>
    <w:rsid w:val="003F05E7"/>
    <w:rsid w:val="00415423"/>
    <w:rsid w:val="00421E5D"/>
    <w:rsid w:val="00431B42"/>
    <w:rsid w:val="004562CE"/>
    <w:rsid w:val="004666CE"/>
    <w:rsid w:val="00481976"/>
    <w:rsid w:val="004B0586"/>
    <w:rsid w:val="004B349C"/>
    <w:rsid w:val="004B3B64"/>
    <w:rsid w:val="004B50E2"/>
    <w:rsid w:val="004D16C5"/>
    <w:rsid w:val="004D3FEC"/>
    <w:rsid w:val="004E57B1"/>
    <w:rsid w:val="004F0B62"/>
    <w:rsid w:val="0050018A"/>
    <w:rsid w:val="00502E3F"/>
    <w:rsid w:val="00526924"/>
    <w:rsid w:val="005374DD"/>
    <w:rsid w:val="005443DE"/>
    <w:rsid w:val="005455AF"/>
    <w:rsid w:val="005756F7"/>
    <w:rsid w:val="00592488"/>
    <w:rsid w:val="005A4301"/>
    <w:rsid w:val="005B12F2"/>
    <w:rsid w:val="00605BAA"/>
    <w:rsid w:val="0061758F"/>
    <w:rsid w:val="006329B0"/>
    <w:rsid w:val="00636C2A"/>
    <w:rsid w:val="006406FD"/>
    <w:rsid w:val="0065567B"/>
    <w:rsid w:val="00657254"/>
    <w:rsid w:val="00683540"/>
    <w:rsid w:val="00683856"/>
    <w:rsid w:val="006A0251"/>
    <w:rsid w:val="006A1D1C"/>
    <w:rsid w:val="006A7268"/>
    <w:rsid w:val="006B0665"/>
    <w:rsid w:val="006B319D"/>
    <w:rsid w:val="006B4125"/>
    <w:rsid w:val="006B594A"/>
    <w:rsid w:val="006B5E11"/>
    <w:rsid w:val="006B7AD5"/>
    <w:rsid w:val="006C35B9"/>
    <w:rsid w:val="006C3D78"/>
    <w:rsid w:val="006D2A03"/>
    <w:rsid w:val="006F1727"/>
    <w:rsid w:val="006F251C"/>
    <w:rsid w:val="007006A1"/>
    <w:rsid w:val="00722BF5"/>
    <w:rsid w:val="0073337B"/>
    <w:rsid w:val="007372B0"/>
    <w:rsid w:val="00761EC9"/>
    <w:rsid w:val="0077158F"/>
    <w:rsid w:val="00772AD0"/>
    <w:rsid w:val="00774186"/>
    <w:rsid w:val="0077458B"/>
    <w:rsid w:val="00776DD3"/>
    <w:rsid w:val="00780E12"/>
    <w:rsid w:val="007C379B"/>
    <w:rsid w:val="007C7273"/>
    <w:rsid w:val="007D0ED3"/>
    <w:rsid w:val="007D1325"/>
    <w:rsid w:val="007D424C"/>
    <w:rsid w:val="007E1923"/>
    <w:rsid w:val="007E3958"/>
    <w:rsid w:val="007F1C0E"/>
    <w:rsid w:val="007F58CB"/>
    <w:rsid w:val="00803110"/>
    <w:rsid w:val="0080436F"/>
    <w:rsid w:val="00805B0B"/>
    <w:rsid w:val="0081539F"/>
    <w:rsid w:val="008313C0"/>
    <w:rsid w:val="008326ED"/>
    <w:rsid w:val="00834B5E"/>
    <w:rsid w:val="0083623F"/>
    <w:rsid w:val="00841B39"/>
    <w:rsid w:val="00850FE1"/>
    <w:rsid w:val="00855595"/>
    <w:rsid w:val="008579C2"/>
    <w:rsid w:val="00870DED"/>
    <w:rsid w:val="00871C71"/>
    <w:rsid w:val="00872FF5"/>
    <w:rsid w:val="00873E77"/>
    <w:rsid w:val="008A0AEA"/>
    <w:rsid w:val="008A334F"/>
    <w:rsid w:val="008A5090"/>
    <w:rsid w:val="008C6B4E"/>
    <w:rsid w:val="008D2B8B"/>
    <w:rsid w:val="008E0D1E"/>
    <w:rsid w:val="008E212A"/>
    <w:rsid w:val="008E3D93"/>
    <w:rsid w:val="00904CC5"/>
    <w:rsid w:val="00914725"/>
    <w:rsid w:val="00916E54"/>
    <w:rsid w:val="00927E95"/>
    <w:rsid w:val="00931F6F"/>
    <w:rsid w:val="00932E98"/>
    <w:rsid w:val="00940F23"/>
    <w:rsid w:val="00953850"/>
    <w:rsid w:val="00980EA6"/>
    <w:rsid w:val="0098533B"/>
    <w:rsid w:val="00997126"/>
    <w:rsid w:val="009A2F2B"/>
    <w:rsid w:val="009B1AEA"/>
    <w:rsid w:val="009B1C18"/>
    <w:rsid w:val="009F0B54"/>
    <w:rsid w:val="009F18B1"/>
    <w:rsid w:val="009F5E0F"/>
    <w:rsid w:val="00A01C89"/>
    <w:rsid w:val="00A14D71"/>
    <w:rsid w:val="00A24D96"/>
    <w:rsid w:val="00A267E0"/>
    <w:rsid w:val="00A42E0B"/>
    <w:rsid w:val="00A43134"/>
    <w:rsid w:val="00A81AF6"/>
    <w:rsid w:val="00AA57C7"/>
    <w:rsid w:val="00AB08CD"/>
    <w:rsid w:val="00AB3398"/>
    <w:rsid w:val="00AB4A3E"/>
    <w:rsid w:val="00AC1DB6"/>
    <w:rsid w:val="00AC6E36"/>
    <w:rsid w:val="00B02D61"/>
    <w:rsid w:val="00B15B8B"/>
    <w:rsid w:val="00B3760D"/>
    <w:rsid w:val="00B53260"/>
    <w:rsid w:val="00B53E86"/>
    <w:rsid w:val="00B64ED4"/>
    <w:rsid w:val="00B71F06"/>
    <w:rsid w:val="00B85E1E"/>
    <w:rsid w:val="00BB3645"/>
    <w:rsid w:val="00C00766"/>
    <w:rsid w:val="00C04D92"/>
    <w:rsid w:val="00C36A62"/>
    <w:rsid w:val="00C65868"/>
    <w:rsid w:val="00C66908"/>
    <w:rsid w:val="00C7037A"/>
    <w:rsid w:val="00C76BD4"/>
    <w:rsid w:val="00C8007A"/>
    <w:rsid w:val="00CB2520"/>
    <w:rsid w:val="00CB4815"/>
    <w:rsid w:val="00CB75BB"/>
    <w:rsid w:val="00CD5DB8"/>
    <w:rsid w:val="00CF66AC"/>
    <w:rsid w:val="00D218C9"/>
    <w:rsid w:val="00D26439"/>
    <w:rsid w:val="00D44EAC"/>
    <w:rsid w:val="00D52F6F"/>
    <w:rsid w:val="00D615A7"/>
    <w:rsid w:val="00D649A2"/>
    <w:rsid w:val="00D66696"/>
    <w:rsid w:val="00D72C1C"/>
    <w:rsid w:val="00D749F3"/>
    <w:rsid w:val="00D96A3B"/>
    <w:rsid w:val="00DB6422"/>
    <w:rsid w:val="00DE3929"/>
    <w:rsid w:val="00DE74CD"/>
    <w:rsid w:val="00DF699D"/>
    <w:rsid w:val="00E11D83"/>
    <w:rsid w:val="00E15CC7"/>
    <w:rsid w:val="00E527F1"/>
    <w:rsid w:val="00E7615D"/>
    <w:rsid w:val="00E82874"/>
    <w:rsid w:val="00EA0971"/>
    <w:rsid w:val="00EA7288"/>
    <w:rsid w:val="00EB1A40"/>
    <w:rsid w:val="00EC3EF5"/>
    <w:rsid w:val="00EC58E6"/>
    <w:rsid w:val="00ED6B6E"/>
    <w:rsid w:val="00EE0876"/>
    <w:rsid w:val="00EF21FF"/>
    <w:rsid w:val="00EF4E58"/>
    <w:rsid w:val="00EF53BC"/>
    <w:rsid w:val="00F12BCC"/>
    <w:rsid w:val="00F16241"/>
    <w:rsid w:val="00F2687F"/>
    <w:rsid w:val="00F37128"/>
    <w:rsid w:val="00F40F53"/>
    <w:rsid w:val="00F60A12"/>
    <w:rsid w:val="00F853E3"/>
    <w:rsid w:val="00F91DF2"/>
    <w:rsid w:val="00FA37B0"/>
    <w:rsid w:val="00FA4380"/>
    <w:rsid w:val="00FA6459"/>
    <w:rsid w:val="00FB4468"/>
    <w:rsid w:val="00FC59C8"/>
    <w:rsid w:val="00FC6CE6"/>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421743"/>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398"/>
    <w:rPr>
      <w:lang w:eastAsia="ru-RU"/>
    </w:rPr>
  </w:style>
  <w:style w:type="paragraph" w:styleId="1">
    <w:name w:val="heading 1"/>
    <w:basedOn w:val="a"/>
    <w:next w:val="a"/>
    <w:link w:val="10"/>
    <w:uiPriority w:val="99"/>
    <w:qFormat/>
    <w:rsid w:val="00AB3398"/>
    <w:pPr>
      <w:keepNext/>
      <w:jc w:val="right"/>
      <w:outlineLvl w:val="0"/>
    </w:pPr>
    <w:rPr>
      <w:sz w:val="24"/>
      <w:szCs w:val="24"/>
    </w:rPr>
  </w:style>
  <w:style w:type="paragraph" w:styleId="2">
    <w:name w:val="heading 2"/>
    <w:basedOn w:val="a"/>
    <w:next w:val="a"/>
    <w:link w:val="20"/>
    <w:uiPriority w:val="99"/>
    <w:qFormat/>
    <w:rsid w:val="00AB3398"/>
    <w:pPr>
      <w:keepNext/>
      <w:jc w:val="center"/>
      <w:outlineLvl w:val="1"/>
    </w:pPr>
    <w:rPr>
      <w:b/>
      <w:bCs/>
      <w:sz w:val="32"/>
      <w:szCs w:val="32"/>
    </w:rPr>
  </w:style>
  <w:style w:type="paragraph" w:styleId="3">
    <w:name w:val="heading 3"/>
    <w:basedOn w:val="a"/>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sz w:val="24"/>
      <w:szCs w:val="24"/>
      <w:lang w:eastAsia="ru-RU"/>
    </w:rPr>
  </w:style>
  <w:style w:type="character" w:customStyle="1" w:styleId="20">
    <w:name w:val="Заголовок 2 Знак"/>
    <w:link w:val="2"/>
    <w:uiPriority w:val="99"/>
    <w:locked/>
    <w:rsid w:val="00337E20"/>
    <w:rPr>
      <w:b/>
      <w:bCs/>
      <w:sz w:val="32"/>
      <w:szCs w:val="32"/>
      <w:lang w:eastAsia="ru-RU"/>
    </w:rPr>
  </w:style>
  <w:style w:type="paragraph" w:styleId="a3">
    <w:name w:val="header"/>
    <w:basedOn w:val="a"/>
    <w:link w:val="a4"/>
    <w:uiPriority w:val="99"/>
    <w:rsid w:val="00AC1DB6"/>
    <w:pPr>
      <w:tabs>
        <w:tab w:val="center" w:pos="4677"/>
        <w:tab w:val="right" w:pos="9355"/>
      </w:tabs>
    </w:pPr>
  </w:style>
  <w:style w:type="paragraph" w:styleId="a5">
    <w:name w:val="footer"/>
    <w:basedOn w:val="a"/>
    <w:link w:val="a6"/>
    <w:uiPriority w:val="99"/>
    <w:rsid w:val="00AC1DB6"/>
    <w:pPr>
      <w:tabs>
        <w:tab w:val="center" w:pos="4677"/>
        <w:tab w:val="right" w:pos="9355"/>
      </w:tabs>
    </w:pPr>
  </w:style>
  <w:style w:type="character" w:customStyle="1" w:styleId="a4">
    <w:name w:val="Верхній колонтитул Знак"/>
    <w:link w:val="a3"/>
    <w:uiPriority w:val="99"/>
    <w:locked/>
    <w:rsid w:val="00AC1DB6"/>
    <w:rPr>
      <w:rFonts w:ascii="Times New Roman" w:hAnsi="Times New Roman" w:cs="Times New Roman"/>
      <w:sz w:val="24"/>
    </w:rPr>
  </w:style>
  <w:style w:type="character" w:customStyle="1" w:styleId="a6">
    <w:name w:val="Нижній колонтитул Знак"/>
    <w:link w:val="a5"/>
    <w:uiPriority w:val="99"/>
    <w:semiHidden/>
    <w:rsid w:val="00AC1DB6"/>
    <w:rPr>
      <w:rFonts w:ascii="Times New Roman" w:hAnsi="Times New Roman" w:cs="Times New Roman"/>
      <w:sz w:val="24"/>
    </w:rPr>
  </w:style>
  <w:style w:type="paragraph" w:customStyle="1" w:styleId="11">
    <w:name w:val="Знак1 Знак Знак Знак"/>
    <w:basedOn w:val="a"/>
    <w:uiPriority w:val="99"/>
    <w:rsid w:val="00D649A2"/>
    <w:rPr>
      <w:rFonts w:ascii="Verdana" w:hAnsi="Verdana" w:cs="Verdana"/>
      <w:lang w:val="en-US" w:eastAsia="en-US"/>
    </w:rPr>
  </w:style>
  <w:style w:type="character" w:customStyle="1" w:styleId="FontStyle">
    <w:name w:val="Font Style"/>
    <w:uiPriority w:val="99"/>
    <w:rsid w:val="00F91DF2"/>
    <w:rPr>
      <w:color w:val="000000"/>
      <w:sz w:val="20"/>
    </w:rPr>
  </w:style>
  <w:style w:type="paragraph" w:styleId="a7">
    <w:name w:val="Balloon Text"/>
    <w:basedOn w:val="a"/>
    <w:link w:val="a8"/>
    <w:uiPriority w:val="99"/>
    <w:semiHidden/>
    <w:rsid w:val="008313C0"/>
    <w:rPr>
      <w:rFonts w:ascii="Tahoma" w:hAnsi="Tahoma" w:cs="Tahoma"/>
      <w:sz w:val="16"/>
      <w:szCs w:val="16"/>
    </w:rPr>
  </w:style>
  <w:style w:type="character" w:customStyle="1" w:styleId="a8">
    <w:name w:val="Текст у виносці Знак"/>
    <w:link w:val="a7"/>
    <w:uiPriority w:val="99"/>
    <w:semiHidden/>
    <w:locked/>
    <w:rPr>
      <w:rFonts w:ascii="Segoe UI" w:hAnsi="Segoe UI" w:cs="Segoe UI"/>
      <w:sz w:val="18"/>
      <w:szCs w:val="18"/>
      <w:lang w:val="ru-RU" w:eastAsia="ru-RU"/>
    </w:rPr>
  </w:style>
  <w:style w:type="paragraph" w:styleId="21">
    <w:name w:val="Body Text Indent 2"/>
    <w:basedOn w:val="a"/>
    <w:link w:val="22"/>
    <w:uiPriority w:val="99"/>
    <w:rsid w:val="00DE3929"/>
    <w:pPr>
      <w:spacing w:after="120" w:line="480" w:lineRule="auto"/>
      <w:ind w:left="283"/>
    </w:pPr>
  </w:style>
  <w:style w:type="character" w:customStyle="1" w:styleId="22">
    <w:name w:val="Основний текст з відступом 2 Знак"/>
    <w:basedOn w:val="a0"/>
    <w:link w:val="21"/>
    <w:uiPriority w:val="99"/>
    <w:rsid w:val="00DE3929"/>
    <w:rPr>
      <w:rFonts w:ascii="Times New Roman" w:hAnsi="Times New Roman"/>
      <w:sz w:val="24"/>
      <w:szCs w:val="24"/>
      <w:lang w:eastAsia="ru-RU"/>
    </w:rPr>
  </w:style>
  <w:style w:type="character" w:styleId="a9">
    <w:name w:val="page number"/>
    <w:uiPriority w:val="99"/>
    <w:rsid w:val="00DE3929"/>
    <w:rPr>
      <w:rFonts w:cs="Times New Roman"/>
    </w:rPr>
  </w:style>
  <w:style w:type="paragraph" w:customStyle="1" w:styleId="12">
    <w:name w:val="Знак Знак1 Знак Знак"/>
    <w:basedOn w:val="a"/>
    <w:uiPriority w:val="99"/>
    <w:rsid w:val="00DE3929"/>
    <w:rPr>
      <w:rFonts w:ascii="Verdana" w:hAnsi="Verdana" w:cs="Verdana"/>
      <w:lang w:val="en-US" w:eastAsia="en-US"/>
    </w:rPr>
  </w:style>
  <w:style w:type="character" w:customStyle="1" w:styleId="apple-style-span">
    <w:name w:val="apple-style-span"/>
    <w:uiPriority w:val="99"/>
    <w:rsid w:val="00DE3929"/>
    <w:rPr>
      <w:rFonts w:cs="Times New Roman"/>
    </w:rPr>
  </w:style>
  <w:style w:type="character" w:customStyle="1" w:styleId="apple-converted-space">
    <w:name w:val="apple-converted-space"/>
    <w:uiPriority w:val="99"/>
    <w:rsid w:val="00DE3929"/>
    <w:rPr>
      <w:rFonts w:cs="Times New Roman"/>
    </w:rPr>
  </w:style>
  <w:style w:type="paragraph" w:styleId="HTML">
    <w:name w:val="HTML Preformatted"/>
    <w:basedOn w:val="a"/>
    <w:link w:val="HTML0"/>
    <w:uiPriority w:val="99"/>
    <w:rsid w:val="00DE3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rsid w:val="00DE3929"/>
    <w:rPr>
      <w:rFonts w:ascii="Courier New" w:hAnsi="Courier New" w:cs="Courier New"/>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34446">
      <w:marLeft w:val="0"/>
      <w:marRight w:val="0"/>
      <w:marTop w:val="0"/>
      <w:marBottom w:val="0"/>
      <w:divBdr>
        <w:top w:val="none" w:sz="0" w:space="0" w:color="auto"/>
        <w:left w:val="none" w:sz="0" w:space="0" w:color="auto"/>
        <w:bottom w:val="none" w:sz="0" w:space="0" w:color="auto"/>
        <w:right w:val="none" w:sz="0" w:space="0" w:color="auto"/>
      </w:divBdr>
    </w:div>
    <w:div w:id="611321721">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39BB64-D7CF-4066-AC4C-B51D0789BB66}">
  <ds:schemaRefs>
    <ds:schemaRef ds:uri="http://schemas.microsoft.com/sharepoint/v3/contenttype/forms"/>
  </ds:schemaRefs>
</ds:datastoreItem>
</file>

<file path=customXml/itemProps2.xml><?xml version="1.0" encoding="utf-8"?>
<ds:datastoreItem xmlns:ds="http://schemas.openxmlformats.org/officeDocument/2006/customXml" ds:itemID="{667FAC67-24A1-44C0-AE84-0F0A11ABC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3226</Words>
  <Characters>1840</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2022-01-25T09:10:00Z</dcterms:created>
  <dcterms:modified xsi:type="dcterms:W3CDTF">2022-01-25T09:10:00Z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