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FE" w:rsidRPr="00DE2439" w:rsidRDefault="001654FE" w:rsidP="001654FE">
      <w:pPr>
        <w:ind w:left="5670"/>
        <w:jc w:val="center"/>
        <w:rPr>
          <w:sz w:val="20"/>
          <w:szCs w:val="20"/>
        </w:rPr>
      </w:pPr>
      <w:r w:rsidRPr="00DE2439">
        <w:rPr>
          <w:sz w:val="20"/>
          <w:szCs w:val="20"/>
        </w:rPr>
        <w:t>До реєстр. № 1581</w:t>
      </w:r>
      <w:r>
        <w:rPr>
          <w:sz w:val="20"/>
          <w:szCs w:val="20"/>
        </w:rPr>
        <w:t>-д</w:t>
      </w:r>
      <w:r w:rsidRPr="00DE2439">
        <w:rPr>
          <w:sz w:val="20"/>
          <w:szCs w:val="20"/>
        </w:rPr>
        <w:t xml:space="preserve"> від 10.12.2015</w:t>
      </w:r>
      <w:r w:rsidRPr="00DE2439">
        <w:rPr>
          <w:sz w:val="20"/>
          <w:szCs w:val="20"/>
        </w:rPr>
        <w:br/>
        <w:t>(друге читання)</w:t>
      </w:r>
    </w:p>
    <w:p w:rsidR="001654FE" w:rsidRPr="007427DB" w:rsidRDefault="001654FE" w:rsidP="001654FE">
      <w:pPr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Default="001654FE" w:rsidP="001654FE">
      <w:pPr>
        <w:jc w:val="center"/>
        <w:rPr>
          <w:szCs w:val="28"/>
        </w:rPr>
      </w:pPr>
    </w:p>
    <w:p w:rsidR="001654FE" w:rsidRDefault="001654FE" w:rsidP="001654FE">
      <w:pPr>
        <w:jc w:val="center"/>
        <w:rPr>
          <w:szCs w:val="28"/>
        </w:rPr>
      </w:pPr>
    </w:p>
    <w:p w:rsidR="001654FE" w:rsidRDefault="001654FE" w:rsidP="001654FE">
      <w:pPr>
        <w:jc w:val="center"/>
        <w:rPr>
          <w:szCs w:val="28"/>
        </w:rPr>
      </w:pPr>
    </w:p>
    <w:p w:rsidR="001654FE" w:rsidRPr="007427DB" w:rsidRDefault="001654FE" w:rsidP="001654FE">
      <w:pPr>
        <w:jc w:val="center"/>
        <w:rPr>
          <w:szCs w:val="28"/>
        </w:rPr>
      </w:pPr>
    </w:p>
    <w:p w:rsidR="001654FE" w:rsidRPr="00DE2439" w:rsidRDefault="001654FE" w:rsidP="001654FE">
      <w:pPr>
        <w:spacing w:after="60"/>
        <w:ind w:right="85"/>
        <w:jc w:val="center"/>
        <w:rPr>
          <w:b/>
          <w:szCs w:val="28"/>
        </w:rPr>
      </w:pPr>
      <w:r w:rsidRPr="00DE2439">
        <w:rPr>
          <w:b/>
          <w:szCs w:val="28"/>
        </w:rPr>
        <w:t>ЗАУВАЖЕННЯ</w:t>
      </w:r>
    </w:p>
    <w:p w:rsidR="001654FE" w:rsidRPr="00D411FA" w:rsidRDefault="001654FE" w:rsidP="001654F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E2439">
        <w:rPr>
          <w:b w:val="0"/>
          <w:sz w:val="28"/>
          <w:szCs w:val="28"/>
        </w:rPr>
        <w:t xml:space="preserve">до проекту Закону України </w:t>
      </w:r>
      <w:r w:rsidRPr="00D411FA">
        <w:rPr>
          <w:b w:val="0"/>
          <w:sz w:val="28"/>
          <w:szCs w:val="28"/>
        </w:rPr>
        <w:t xml:space="preserve">про </w:t>
      </w:r>
      <w:r w:rsidRPr="00D411FA">
        <w:rPr>
          <w:b w:val="0"/>
          <w:color w:val="000000"/>
          <w:sz w:val="28"/>
          <w:szCs w:val="28"/>
        </w:rPr>
        <w:t>житлово-комунальні послуги</w:t>
      </w:r>
    </w:p>
    <w:p w:rsidR="001654FE" w:rsidRPr="00DE2439" w:rsidRDefault="001654FE" w:rsidP="001654FE">
      <w:pPr>
        <w:jc w:val="center"/>
      </w:pPr>
      <w:r w:rsidRPr="00DE2439">
        <w:t>(реєстр. № 1581-д)</w:t>
      </w:r>
    </w:p>
    <w:p w:rsidR="001654FE" w:rsidRPr="00DE2439" w:rsidRDefault="001654FE" w:rsidP="001654FE">
      <w:pPr>
        <w:tabs>
          <w:tab w:val="left" w:pos="993"/>
          <w:tab w:val="left" w:pos="1134"/>
        </w:tabs>
        <w:spacing w:after="100"/>
        <w:jc w:val="both"/>
        <w:rPr>
          <w:szCs w:val="28"/>
        </w:rPr>
      </w:pPr>
    </w:p>
    <w:p w:rsidR="006C31ED" w:rsidRDefault="006C31ED" w:rsidP="006C31ED">
      <w:pPr>
        <w:ind w:firstLine="708"/>
        <w:jc w:val="both"/>
        <w:rPr>
          <w:szCs w:val="28"/>
        </w:rPr>
      </w:pPr>
      <w:r>
        <w:rPr>
          <w:szCs w:val="28"/>
        </w:rPr>
        <w:t>У Головному юридичному управлінні розглянуто доопрацьований законопроект, підготовлений до другого читання, та висловлюються наступні зауваження та пропозиції.</w:t>
      </w:r>
    </w:p>
    <w:p w:rsidR="001654FE" w:rsidRDefault="001654FE" w:rsidP="001654FE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1. </w:t>
      </w:r>
      <w:r w:rsidRPr="00DE2439">
        <w:rPr>
          <w:szCs w:val="28"/>
        </w:rPr>
        <w:t>Законопроектом</w:t>
      </w:r>
      <w:r>
        <w:rPr>
          <w:szCs w:val="28"/>
        </w:rPr>
        <w:t>,</w:t>
      </w:r>
      <w:r w:rsidRPr="00DE2439">
        <w:rPr>
          <w:szCs w:val="28"/>
        </w:rPr>
        <w:t xml:space="preserve"> серед іншого</w:t>
      </w:r>
      <w:r>
        <w:rPr>
          <w:szCs w:val="28"/>
        </w:rPr>
        <w:t>,</w:t>
      </w:r>
      <w:r w:rsidRPr="00DE2439">
        <w:rPr>
          <w:szCs w:val="28"/>
        </w:rPr>
        <w:t xml:space="preserve"> встановлюються повноваження Національної комісії, що здійснює державне регулювання у сферах енергетики та комунальних послуг (частина третя статті 4, частини перша, третя </w:t>
      </w:r>
      <w:r>
        <w:rPr>
          <w:szCs w:val="28"/>
        </w:rPr>
        <w:t>і</w:t>
      </w:r>
      <w:r w:rsidRPr="00DE2439">
        <w:rPr>
          <w:szCs w:val="28"/>
        </w:rPr>
        <w:t xml:space="preserve"> четверта статті 19, частина п’ята статті 20 та підпункт 2 пункту 7 розділу VI «Пр</w:t>
      </w:r>
      <w:r>
        <w:rPr>
          <w:szCs w:val="28"/>
        </w:rPr>
        <w:t>икінцеві та перехідні положення</w:t>
      </w:r>
      <w:r w:rsidRPr="00DE2439">
        <w:rPr>
          <w:szCs w:val="28"/>
        </w:rPr>
        <w:t>»</w:t>
      </w:r>
      <w:r>
        <w:rPr>
          <w:szCs w:val="28"/>
        </w:rPr>
        <w:t>, яким вносяться зміни до підпункту 2 пункту «а» статті 28 Закону України «Про місцеве самоврядування в Україні»</w:t>
      </w:r>
      <w:r w:rsidRPr="00DE2439">
        <w:rPr>
          <w:szCs w:val="28"/>
        </w:rPr>
        <w:t>)</w:t>
      </w:r>
      <w:r>
        <w:rPr>
          <w:szCs w:val="28"/>
        </w:rPr>
        <w:t xml:space="preserve">. Однак, на нашу думку, </w:t>
      </w:r>
      <w:r w:rsidRPr="00DE2439">
        <w:rPr>
          <w:szCs w:val="28"/>
        </w:rPr>
        <w:t xml:space="preserve">законодавче визначення </w:t>
      </w:r>
      <w:r w:rsidRPr="00DE2439">
        <w:rPr>
          <w:rStyle w:val="FontStyle"/>
          <w:sz w:val="28"/>
          <w:szCs w:val="28"/>
        </w:rPr>
        <w:t>повноважень та способу їх реалізації</w:t>
      </w:r>
      <w:r w:rsidRPr="00DE2439">
        <w:rPr>
          <w:szCs w:val="28"/>
        </w:rPr>
        <w:t xml:space="preserve"> </w:t>
      </w:r>
      <w:r>
        <w:rPr>
          <w:szCs w:val="28"/>
        </w:rPr>
        <w:t>цієї Комісії</w:t>
      </w:r>
      <w:r w:rsidRPr="00DE2439">
        <w:rPr>
          <w:rStyle w:val="FontStyle"/>
          <w:sz w:val="28"/>
          <w:szCs w:val="28"/>
        </w:rPr>
        <w:t xml:space="preserve"> </w:t>
      </w:r>
      <w:r w:rsidRPr="00DE2439">
        <w:rPr>
          <w:szCs w:val="28"/>
        </w:rPr>
        <w:t>не узгоджується з положеннями частини першої статті 6 Конституції України, за якою державна влада в Україні здійснюється на засадах її поділу на законодавчу, виконавчу та судову, та не випливає з конституційної моделі організації влади в Україні. Так, Національна комісія, що здійснює державне регулювання у сферах ен</w:t>
      </w:r>
      <w:r>
        <w:rPr>
          <w:szCs w:val="28"/>
        </w:rPr>
        <w:t xml:space="preserve">ергетики та комунальних послуг, </w:t>
      </w:r>
      <w:r w:rsidRPr="00DE2439">
        <w:rPr>
          <w:szCs w:val="28"/>
        </w:rPr>
        <w:t>наділ</w:t>
      </w:r>
      <w:r>
        <w:rPr>
          <w:szCs w:val="28"/>
        </w:rPr>
        <w:t>яється</w:t>
      </w:r>
      <w:r w:rsidRPr="00DE2439">
        <w:rPr>
          <w:szCs w:val="28"/>
        </w:rPr>
        <w:t xml:space="preserve"> повноваженнями центрального органу виконавчої влади</w:t>
      </w:r>
      <w:r>
        <w:rPr>
          <w:szCs w:val="28"/>
        </w:rPr>
        <w:t>, п</w:t>
      </w:r>
      <w:r w:rsidRPr="00DE2439">
        <w:rPr>
          <w:szCs w:val="28"/>
        </w:rPr>
        <w:t>роте вичерпний перелік державних органів, що формально не належать до жодної з гілок влади, прямо встановлюється Конституцією України (ЦВК, Національна рада України з питань телебачення і радіомовлення тощо).</w:t>
      </w:r>
    </w:p>
    <w:p w:rsidR="001654FE" w:rsidRPr="00355A76" w:rsidRDefault="001654FE" w:rsidP="001654FE">
      <w:pPr>
        <w:pStyle w:val="Igor"/>
        <w:spacing w:before="0" w:after="0"/>
        <w:rPr>
          <w:color w:val="000000"/>
        </w:rPr>
      </w:pPr>
      <w:r>
        <w:t>2. С</w:t>
      </w:r>
      <w:r w:rsidRPr="00355A76">
        <w:rPr>
          <w:color w:val="000000"/>
        </w:rPr>
        <w:t>лід зауважити, що у законопроекті не враховано вимоги статті 8 Основного Закону України щодо забезпечення у законі принципу правової визначеності (основоположного елементу принципу верховенства права).</w:t>
      </w:r>
    </w:p>
    <w:p w:rsidR="001654FE" w:rsidRPr="00355A76" w:rsidRDefault="001654FE" w:rsidP="001654FE">
      <w:pPr>
        <w:ind w:firstLine="720"/>
        <w:jc w:val="both"/>
        <w:rPr>
          <w:color w:val="000000"/>
          <w:szCs w:val="28"/>
        </w:rPr>
      </w:pPr>
      <w:r w:rsidRPr="00355A76">
        <w:rPr>
          <w:color w:val="000000"/>
          <w:szCs w:val="28"/>
        </w:rPr>
        <w:t>Подібний законодавчий підхід не враховує правових позицій Конституційного Суду України, у рішеннях якого неодноразово наголошувалося, що визначальними елементами верховенства права є принципи правової визначеності (йдеться про умову забезпечення передбачуваності застосування правової норми),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 та неминуче призводить до сваволі (рішення від 22 вересня 2005 року №5-рп/2005, від 29 червня 2010 року №17-</w:t>
      </w:r>
      <w:r w:rsidRPr="00355A76">
        <w:rPr>
          <w:color w:val="000000"/>
          <w:szCs w:val="28"/>
        </w:rPr>
        <w:lastRenderedPageBreak/>
        <w:t xml:space="preserve">рп/2010, від 22 грудня 2010 року № 23-рп/2010, від 11 жовтня 2011 року №10- </w:t>
      </w:r>
      <w:proofErr w:type="spellStart"/>
      <w:r w:rsidRPr="00355A76">
        <w:rPr>
          <w:color w:val="000000"/>
          <w:szCs w:val="28"/>
        </w:rPr>
        <w:t>рп</w:t>
      </w:r>
      <w:proofErr w:type="spellEnd"/>
      <w:r w:rsidRPr="00355A76">
        <w:rPr>
          <w:color w:val="000000"/>
          <w:szCs w:val="28"/>
        </w:rPr>
        <w:t>/2011 тощо).</w:t>
      </w:r>
    </w:p>
    <w:p w:rsidR="001654FE" w:rsidRDefault="001654FE" w:rsidP="001654FE">
      <w:pPr>
        <w:ind w:firstLine="720"/>
        <w:jc w:val="both"/>
        <w:rPr>
          <w:rStyle w:val="rvts0"/>
          <w:szCs w:val="28"/>
        </w:rPr>
      </w:pPr>
      <w:r>
        <w:rPr>
          <w:rStyle w:val="rvts0"/>
          <w:szCs w:val="28"/>
        </w:rPr>
        <w:t>Зазначене стосується положень частини третьої статті 2 законопроекту, якою пропонується законодавчо закріпити можливість застосування норм закону «з урахуванням особливостей», встановлених спеціальними законами. При цьому межі та обсяг застосування таких особливостей визначатимуться суб’єктом правовідносин на власний розсуд.</w:t>
      </w:r>
    </w:p>
    <w:p w:rsidR="001654FE" w:rsidRPr="00DE2439" w:rsidRDefault="001654FE" w:rsidP="001654FE">
      <w:pPr>
        <w:ind w:firstLine="720"/>
        <w:jc w:val="both"/>
        <w:rPr>
          <w:szCs w:val="28"/>
        </w:rPr>
      </w:pPr>
      <w:r>
        <w:rPr>
          <w:rStyle w:val="rvts0"/>
          <w:szCs w:val="28"/>
        </w:rPr>
        <w:t xml:space="preserve">Крім того, у законопроекті не дотримано вимог статті 19 Конституції України стосовно наділення центрального органу виконавчої влади, що забезпечує формування та реалізує державну політику у сфері житлово-комунального господарства, повноваженням щодо «сприяння створенню виконавцями комунальних </w:t>
      </w:r>
      <w:r w:rsidRPr="00C6568A">
        <w:t>послуг та управителями систем управління якістю відповідних послуг на базі національних або міжнародних стандартів</w:t>
      </w:r>
      <w:r>
        <w:rPr>
          <w:rStyle w:val="rvts0"/>
          <w:szCs w:val="28"/>
        </w:rPr>
        <w:t>» (пункт 1 частини другої статті 4).</w:t>
      </w:r>
    </w:p>
    <w:p w:rsidR="001654FE" w:rsidRPr="00DE2439" w:rsidRDefault="001654FE" w:rsidP="001654FE">
      <w:pPr>
        <w:pStyle w:val="StyleZakonu"/>
        <w:tabs>
          <w:tab w:val="left" w:pos="993"/>
          <w:tab w:val="left" w:pos="1134"/>
        </w:tabs>
        <w:spacing w:after="100" w:line="240" w:lineRule="auto"/>
        <w:ind w:left="709" w:firstLine="0"/>
        <w:rPr>
          <w:sz w:val="28"/>
          <w:szCs w:val="28"/>
        </w:rPr>
      </w:pPr>
    </w:p>
    <w:p w:rsidR="001654FE" w:rsidRPr="00DE2439" w:rsidRDefault="001654FE" w:rsidP="001654FE">
      <w:pPr>
        <w:spacing w:after="100"/>
        <w:ind w:firstLine="720"/>
        <w:jc w:val="both"/>
      </w:pPr>
      <w:r w:rsidRPr="00DE2439">
        <w:rPr>
          <w:b/>
        </w:rPr>
        <w:t>Узагальнюючий висновок:</w:t>
      </w:r>
      <w:r w:rsidRPr="00DE2439">
        <w:t xml:space="preserve"> законопроект потребує доопрацювання з урахуванням викладених зауважень.</w:t>
      </w:r>
    </w:p>
    <w:p w:rsidR="001654FE" w:rsidRDefault="001654FE" w:rsidP="001654FE">
      <w:pPr>
        <w:pStyle w:val="StyleZakonu"/>
        <w:tabs>
          <w:tab w:val="left" w:pos="993"/>
          <w:tab w:val="left" w:pos="1134"/>
        </w:tabs>
        <w:spacing w:after="120" w:line="240" w:lineRule="auto"/>
        <w:rPr>
          <w:sz w:val="28"/>
          <w:szCs w:val="28"/>
        </w:rPr>
      </w:pPr>
    </w:p>
    <w:p w:rsidR="001654FE" w:rsidRPr="00DE2439" w:rsidRDefault="001654FE" w:rsidP="001654FE">
      <w:pPr>
        <w:pStyle w:val="StyleZakonu"/>
        <w:tabs>
          <w:tab w:val="left" w:pos="993"/>
          <w:tab w:val="left" w:pos="1134"/>
        </w:tabs>
        <w:spacing w:after="12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5722"/>
      </w:tblGrid>
      <w:tr w:rsidR="001654FE" w:rsidRPr="00DE2439" w:rsidTr="00086B13">
        <w:trPr>
          <w:trHeight w:val="679"/>
        </w:trPr>
        <w:tc>
          <w:tcPr>
            <w:tcW w:w="3848" w:type="dxa"/>
          </w:tcPr>
          <w:p w:rsidR="001654FE" w:rsidRPr="00DE2439" w:rsidRDefault="001654FE" w:rsidP="00086B13">
            <w:pPr>
              <w:jc w:val="both"/>
              <w:rPr>
                <w:b/>
                <w:sz w:val="28"/>
                <w:szCs w:val="28"/>
              </w:rPr>
            </w:pPr>
            <w:r w:rsidRPr="00DE2439">
              <w:rPr>
                <w:b/>
                <w:sz w:val="28"/>
                <w:szCs w:val="28"/>
              </w:rPr>
              <w:t>Заступник керівника</w:t>
            </w:r>
          </w:p>
          <w:p w:rsidR="001654FE" w:rsidRPr="00DE2439" w:rsidRDefault="001654FE" w:rsidP="00086B13">
            <w:pPr>
              <w:jc w:val="both"/>
              <w:rPr>
                <w:b/>
                <w:sz w:val="28"/>
                <w:szCs w:val="28"/>
              </w:rPr>
            </w:pPr>
            <w:r w:rsidRPr="00DE2439">
              <w:rPr>
                <w:b/>
                <w:sz w:val="28"/>
                <w:szCs w:val="28"/>
              </w:rPr>
              <w:t>Головного управління</w:t>
            </w:r>
          </w:p>
        </w:tc>
        <w:tc>
          <w:tcPr>
            <w:tcW w:w="5722" w:type="dxa"/>
          </w:tcPr>
          <w:p w:rsidR="001654FE" w:rsidRPr="00DE2439" w:rsidRDefault="001654FE" w:rsidP="00086B13">
            <w:pPr>
              <w:jc w:val="both"/>
              <w:rPr>
                <w:b/>
                <w:sz w:val="28"/>
                <w:szCs w:val="28"/>
              </w:rPr>
            </w:pPr>
          </w:p>
          <w:p w:rsidR="001654FE" w:rsidRPr="00DE2439" w:rsidRDefault="001654FE" w:rsidP="00086B13">
            <w:pPr>
              <w:jc w:val="right"/>
              <w:rPr>
                <w:b/>
                <w:sz w:val="28"/>
                <w:szCs w:val="28"/>
              </w:rPr>
            </w:pPr>
            <w:r w:rsidRPr="00DE2439">
              <w:rPr>
                <w:b/>
                <w:sz w:val="28"/>
                <w:szCs w:val="28"/>
              </w:rPr>
              <w:t>В. МІЛОВАНОВ</w:t>
            </w:r>
          </w:p>
        </w:tc>
      </w:tr>
    </w:tbl>
    <w:p w:rsidR="001654FE" w:rsidRPr="00DE2439" w:rsidRDefault="001654FE" w:rsidP="001654FE">
      <w:pPr>
        <w:tabs>
          <w:tab w:val="left" w:pos="993"/>
        </w:tabs>
        <w:spacing w:after="80"/>
        <w:ind w:right="6318"/>
        <w:jc w:val="both"/>
        <w:rPr>
          <w:sz w:val="2"/>
          <w:szCs w:val="2"/>
        </w:rPr>
      </w:pPr>
    </w:p>
    <w:p w:rsidR="003A24EC" w:rsidRDefault="00E6247E"/>
    <w:sectPr w:rsidR="003A24EC" w:rsidSect="00D411FA">
      <w:headerReference w:type="default" r:id="rId4"/>
      <w:footerReference w:type="default" r:id="rId5"/>
      <w:pgSz w:w="11906" w:h="16838"/>
      <w:pgMar w:top="850" w:right="850" w:bottom="851" w:left="1417" w:header="708" w:footer="708" w:gutter="0"/>
      <w:pgNumType w:chapStyle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3C" w:rsidRDefault="00E6247E">
    <w:pPr>
      <w:pStyle w:val="a6"/>
      <w:jc w:val="center"/>
    </w:pPr>
  </w:p>
  <w:p w:rsidR="0020753C" w:rsidRDefault="00E6247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143806"/>
      <w:docPartObj>
        <w:docPartGallery w:val="Page Numbers (Top of Page)"/>
        <w:docPartUnique/>
      </w:docPartObj>
    </w:sdtPr>
    <w:sdtEndPr/>
    <w:sdtContent>
      <w:p w:rsidR="0020753C" w:rsidRDefault="00E6247E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="001654FE">
          <w:rPr>
            <w:noProof/>
          </w:rPr>
          <w:t>2</w:t>
        </w:r>
        <w:r>
          <w:fldChar w:fldCharType="end"/>
        </w:r>
      </w:p>
    </w:sdtContent>
  </w:sdt>
  <w:p w:rsidR="00F44CC4" w:rsidRDefault="00E624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E"/>
    <w:rsid w:val="000329E0"/>
    <w:rsid w:val="001654FE"/>
    <w:rsid w:val="00173075"/>
    <w:rsid w:val="001C64ED"/>
    <w:rsid w:val="00230BA0"/>
    <w:rsid w:val="00276041"/>
    <w:rsid w:val="002C1434"/>
    <w:rsid w:val="00333542"/>
    <w:rsid w:val="00385AFA"/>
    <w:rsid w:val="00492ECE"/>
    <w:rsid w:val="004A3971"/>
    <w:rsid w:val="00500062"/>
    <w:rsid w:val="00585E74"/>
    <w:rsid w:val="006C31ED"/>
    <w:rsid w:val="0078407B"/>
    <w:rsid w:val="0082610D"/>
    <w:rsid w:val="00A00A4F"/>
    <w:rsid w:val="00AE2B58"/>
    <w:rsid w:val="00B02B9A"/>
    <w:rsid w:val="00B74BF5"/>
    <w:rsid w:val="00B967C8"/>
    <w:rsid w:val="00C21A4B"/>
    <w:rsid w:val="00C25E35"/>
    <w:rsid w:val="00C717F9"/>
    <w:rsid w:val="00E6247E"/>
    <w:rsid w:val="00E7671C"/>
    <w:rsid w:val="00FB0546"/>
    <w:rsid w:val="00FD567D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913B"/>
  <w15:chartTrackingRefBased/>
  <w15:docId w15:val="{C612E0A3-49B4-4A4D-B07A-8A97760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FE"/>
    <w:pPr>
      <w:jc w:val="left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qFormat/>
    <w:rsid w:val="001654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4FE"/>
    <w:rPr>
      <w:rFonts w:eastAsia="Times New Roman"/>
      <w:b/>
      <w:bCs/>
      <w:sz w:val="27"/>
      <w:szCs w:val="27"/>
      <w:lang w:eastAsia="ru-RU"/>
    </w:rPr>
  </w:style>
  <w:style w:type="character" w:customStyle="1" w:styleId="FontStyle">
    <w:name w:val="Font Style"/>
    <w:uiPriority w:val="99"/>
    <w:rsid w:val="001654FE"/>
    <w:rPr>
      <w:rFonts w:cs="Courier New"/>
      <w:color w:val="000000"/>
      <w:sz w:val="20"/>
      <w:szCs w:val="20"/>
    </w:rPr>
  </w:style>
  <w:style w:type="paragraph" w:customStyle="1" w:styleId="StyleZakonu">
    <w:name w:val="StyleZakonu"/>
    <w:basedOn w:val="a"/>
    <w:link w:val="StyleZakonu0"/>
    <w:rsid w:val="001654FE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1654FE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rsid w:val="001654FE"/>
    <w:pPr>
      <w:jc w:val="left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4F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654F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4F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654FE"/>
    <w:rPr>
      <w:rFonts w:eastAsia="Times New Roman"/>
      <w:szCs w:val="24"/>
      <w:lang w:eastAsia="ru-RU"/>
    </w:rPr>
  </w:style>
  <w:style w:type="character" w:customStyle="1" w:styleId="rvts0">
    <w:name w:val="rvts0"/>
    <w:basedOn w:val="a0"/>
    <w:rsid w:val="001654FE"/>
  </w:style>
  <w:style w:type="paragraph" w:customStyle="1" w:styleId="Igor">
    <w:name w:val="Igor"/>
    <w:basedOn w:val="a"/>
    <w:autoRedefine/>
    <w:rsid w:val="001654FE"/>
    <w:pPr>
      <w:spacing w:before="120" w:after="120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Олександрівна Жуковіна</dc:creator>
  <cp:keywords/>
  <dc:description/>
  <cp:lastModifiedBy>Лідія Олександрівна Жуковіна</cp:lastModifiedBy>
  <cp:revision>1</cp:revision>
  <dcterms:created xsi:type="dcterms:W3CDTF">2016-11-01T12:17:00Z</dcterms:created>
  <dcterms:modified xsi:type="dcterms:W3CDTF">2016-11-01T15:04:00Z</dcterms:modified>
</cp:coreProperties>
</file>