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Default="005204CF">
      <w:bookmarkStart w:id="0" w:name="_GoBack"/>
      <w:bookmarkEnd w:id="0"/>
    </w:p>
    <w:p w:rsidR="008C2BB6" w:rsidRDefault="008C2BB6"/>
    <w:p w:rsidR="008C2BB6" w:rsidRDefault="008C2BB6"/>
    <w:p w:rsidR="008C2BB6" w:rsidRDefault="008C2BB6"/>
    <w:p w:rsidR="008C2BB6" w:rsidRDefault="008C2BB6"/>
    <w:p w:rsidR="008C2BB6" w:rsidRDefault="008C2BB6"/>
    <w:p w:rsidR="008C2BB6" w:rsidRDefault="008C2BB6"/>
    <w:p w:rsidR="008C2BB6" w:rsidRDefault="008C2BB6"/>
    <w:p w:rsidR="008C2BB6" w:rsidRPr="008C2BB6" w:rsidRDefault="008C2BB6">
      <w:pPr>
        <w:rPr>
          <w:b/>
        </w:rPr>
      </w:pPr>
      <w:r w:rsidRPr="008C2BB6">
        <w:rPr>
          <w:b/>
        </w:rPr>
        <w:t>В И С Н О В О К</w:t>
      </w:r>
    </w:p>
    <w:p w:rsidR="008C2BB6" w:rsidRPr="008C2BB6" w:rsidRDefault="008C2BB6">
      <w:pPr>
        <w:rPr>
          <w:b/>
        </w:rPr>
      </w:pPr>
      <w:r w:rsidRPr="008C2BB6">
        <w:rPr>
          <w:b/>
        </w:rPr>
        <w:t>на проект Закону України «Про внесення змін до Кримінального кодексу України (щодо посилення кримінальної відповідальності)»</w:t>
      </w:r>
    </w:p>
    <w:p w:rsidR="008C2BB6" w:rsidRDefault="008C2BB6"/>
    <w:p w:rsidR="008C2BB6" w:rsidRDefault="008C2BB6" w:rsidP="008C2BB6">
      <w:pPr>
        <w:jc w:val="both"/>
        <w:rPr>
          <w:i/>
        </w:rPr>
      </w:pPr>
      <w:r>
        <w:tab/>
      </w:r>
      <w:r w:rsidR="00110590">
        <w:t xml:space="preserve">З метою </w:t>
      </w:r>
      <w:r w:rsidR="00110590" w:rsidRPr="00110590">
        <w:t xml:space="preserve">посилення </w:t>
      </w:r>
      <w:r w:rsidR="00110590">
        <w:t xml:space="preserve">кримінальної </w:t>
      </w:r>
      <w:r w:rsidR="00110590" w:rsidRPr="00110590">
        <w:t xml:space="preserve">відповідальності за </w:t>
      </w:r>
      <w:r w:rsidR="00110590">
        <w:t xml:space="preserve">вчинення злочинів, передбачених статтями 185 «Крадіжка», 186 «Грабіж» та 187 «Розбій» Кримінального кодексу України (далі – КК), </w:t>
      </w:r>
      <w:r w:rsidR="002F412B">
        <w:t xml:space="preserve">у </w:t>
      </w:r>
      <w:r w:rsidR="00110590">
        <w:t>законопроект</w:t>
      </w:r>
      <w:r w:rsidR="002F412B">
        <w:t>і</w:t>
      </w:r>
      <w:r w:rsidR="00110590">
        <w:t xml:space="preserve"> пропонується збільшити</w:t>
      </w:r>
      <w:r w:rsidR="0086502A">
        <w:t xml:space="preserve"> строки передбаченого у цих статтях покарання у вигляді позбавлення волі</w:t>
      </w:r>
      <w:r w:rsidR="00110590">
        <w:t xml:space="preserve">. Крім того, </w:t>
      </w:r>
      <w:r w:rsidR="002438CC">
        <w:t>пропонується доповнити санкції, передбачені за вчинення крадіжки або грабежу у великих розмірах (частина 4 статті 185 та частина 4 статті 186 КК в редакції проекту)</w:t>
      </w:r>
      <w:r w:rsidR="002F412B">
        <w:t>,</w:t>
      </w:r>
      <w:r w:rsidR="00B90E87">
        <w:t xml:space="preserve"> </w:t>
      </w:r>
      <w:r w:rsidR="002438CC">
        <w:t>таким додатковим видом покарання</w:t>
      </w:r>
      <w:r w:rsidR="002F412B">
        <w:t>,</w:t>
      </w:r>
      <w:r w:rsidR="002438CC">
        <w:t xml:space="preserve"> як </w:t>
      </w:r>
      <w:r w:rsidR="002438CC" w:rsidRPr="002438CC">
        <w:rPr>
          <w:i/>
        </w:rPr>
        <w:t>конфіскація майна</w:t>
      </w:r>
      <w:r w:rsidR="002438CC">
        <w:rPr>
          <w:i/>
        </w:rPr>
        <w:t>.</w:t>
      </w:r>
    </w:p>
    <w:p w:rsidR="002438CC" w:rsidRDefault="002438CC" w:rsidP="008C2BB6">
      <w:pPr>
        <w:jc w:val="both"/>
      </w:pPr>
      <w:r>
        <w:tab/>
      </w:r>
      <w:r w:rsidRPr="002438CC">
        <w:t>Головне науково-експертне управління, розуміючи с</w:t>
      </w:r>
      <w:r>
        <w:t>турбованість ініціаторів</w:t>
      </w:r>
      <w:r w:rsidRPr="002438CC">
        <w:t xml:space="preserve"> проекту фактами вчинення</w:t>
      </w:r>
      <w:r>
        <w:t xml:space="preserve"> певних</w:t>
      </w:r>
      <w:r w:rsidRPr="002438CC">
        <w:t xml:space="preserve"> злочинів проти </w:t>
      </w:r>
      <w:r>
        <w:t>власності</w:t>
      </w:r>
      <w:r w:rsidRPr="002438CC">
        <w:t>, тим не менш вважає за необхідне висловити щодо змісту даного проекту наступні зауваження.</w:t>
      </w:r>
    </w:p>
    <w:p w:rsidR="00440784" w:rsidRDefault="002F412B" w:rsidP="00440784">
      <w:pPr>
        <w:pStyle w:val="a7"/>
        <w:numPr>
          <w:ilvl w:val="0"/>
          <w:numId w:val="2"/>
        </w:numPr>
        <w:ind w:left="0" w:firstLine="705"/>
        <w:jc w:val="both"/>
      </w:pPr>
      <w:r>
        <w:t>П</w:t>
      </w:r>
      <w:r w:rsidR="00440784" w:rsidRPr="00440784">
        <w:t>ропозиції щодо посилення відповідальност</w:t>
      </w:r>
      <w:r w:rsidR="00440784">
        <w:t>і у вигляді позбавлення волі на певний строк</w:t>
      </w:r>
      <w:r w:rsidR="00440784" w:rsidRPr="00440784">
        <w:t xml:space="preserve"> як виду кримінального покаранн</w:t>
      </w:r>
      <w:r w:rsidR="00440784">
        <w:t>я</w:t>
      </w:r>
      <w:r w:rsidR="00440784" w:rsidRPr="00440784">
        <w:t xml:space="preserve">, виключення альтернативних більш м’яких покарань повинні мати серйозне наукове обґрунтування і бути результатом ґрунтовного аналізу практики застосування відповідних статей КК. Однак, у пояснювальній записці до проекту таке обґрунтування відсутнє, аргументи щодо необхідності посилення кримінальної відповідальності за вказані правопорушення </w:t>
      </w:r>
      <w:r w:rsidR="00440784">
        <w:t>є неповн</w:t>
      </w:r>
      <w:r>
        <w:t>ими</w:t>
      </w:r>
      <w:r w:rsidR="00440784">
        <w:t xml:space="preserve"> та однобічн</w:t>
      </w:r>
      <w:r>
        <w:t>ими,</w:t>
      </w:r>
      <w:r w:rsidR="00440784">
        <w:t xml:space="preserve"> </w:t>
      </w:r>
      <w:r w:rsidR="00440784" w:rsidRPr="00440784">
        <w:t>відсутні статистичні дані про їх</w:t>
      </w:r>
      <w:r w:rsidR="00440784">
        <w:t xml:space="preserve"> загальну</w:t>
      </w:r>
      <w:r w:rsidR="00440784" w:rsidRPr="00440784">
        <w:t xml:space="preserve"> кількість</w:t>
      </w:r>
      <w:r w:rsidR="00440784">
        <w:t xml:space="preserve"> (</w:t>
      </w:r>
      <w:r w:rsidR="0098428F">
        <w:t>ініціатори проекту ґрунтують свої пропозиції лише на статистичних даних по м. Одеса та Одеській області)</w:t>
      </w:r>
      <w:r w:rsidR="00440784" w:rsidRPr="00440784">
        <w:t>, про кількість притягнутих до відповідальності за їх вчинення, приклади з практики, які б доводили неефективність ч</w:t>
      </w:r>
      <w:r w:rsidR="00440784">
        <w:t>и недостатню ефективність чинних редакцій</w:t>
      </w:r>
      <w:r w:rsidR="00440784" w:rsidRPr="00440784">
        <w:t xml:space="preserve"> відповідних статей КК, наявність проблем в ї</w:t>
      </w:r>
      <w:r>
        <w:t>х</w:t>
      </w:r>
      <w:r w:rsidR="00440784" w:rsidRPr="00440784">
        <w:t xml:space="preserve"> застосуванні. </w:t>
      </w:r>
    </w:p>
    <w:p w:rsidR="002F5C62" w:rsidRDefault="00B90E87" w:rsidP="00457099">
      <w:pPr>
        <w:pStyle w:val="a7"/>
        <w:ind w:left="0" w:firstLine="705"/>
        <w:jc w:val="both"/>
      </w:pPr>
      <w:r>
        <w:t>Д</w:t>
      </w:r>
      <w:r w:rsidR="00457099">
        <w:t>ійсно</w:t>
      </w:r>
      <w:r>
        <w:t>,</w:t>
      </w:r>
      <w:r w:rsidR="002F412B">
        <w:t xml:space="preserve"> </w:t>
      </w:r>
      <w:r w:rsidR="00457099">
        <w:t xml:space="preserve"> останні</w:t>
      </w:r>
      <w:r w:rsidR="002F412B">
        <w:t>ми</w:t>
      </w:r>
      <w:r w:rsidR="00457099">
        <w:t xml:space="preserve"> рок</w:t>
      </w:r>
      <w:r w:rsidR="002F412B">
        <w:t>ам</w:t>
      </w:r>
      <w:r w:rsidR="00457099">
        <w:t xml:space="preserve">и загальна кількість злочинів, передбачених статтями 185 – 187 </w:t>
      </w:r>
      <w:r w:rsidR="002F5C62">
        <w:t>КК, значно зросла.</w:t>
      </w:r>
      <w:r w:rsidR="00DB20C0">
        <w:t xml:space="preserve"> Нижче </w:t>
      </w:r>
      <w:r w:rsidR="005A0044">
        <w:t>в таблиці</w:t>
      </w:r>
      <w:r w:rsidR="00DB20C0">
        <w:t xml:space="preserve"> наведені дані про загальну кількість вчинених злочинів та наслідки їх розслідування</w:t>
      </w:r>
      <w:r w:rsidR="005A0044">
        <w:t xml:space="preserve"> за 2014 -2015 </w:t>
      </w:r>
      <w:r w:rsidR="005A0044">
        <w:lastRenderedPageBreak/>
        <w:t>роки та І півріччя 2016 року</w:t>
      </w:r>
      <w:r w:rsidR="00DB20C0">
        <w:t xml:space="preserve"> згідно статистиці Генеральної прокуратури України</w:t>
      </w:r>
      <w:r w:rsidR="00DB20C0">
        <w:rPr>
          <w:rStyle w:val="aa"/>
        </w:rPr>
        <w:footnoteReference w:id="1"/>
      </w:r>
      <w:r>
        <w:t>.</w:t>
      </w:r>
    </w:p>
    <w:p w:rsidR="003A1B2D" w:rsidRDefault="003A1B2D" w:rsidP="003A1B2D">
      <w:pPr>
        <w:pStyle w:val="a7"/>
        <w:ind w:left="0" w:firstLine="705"/>
      </w:pPr>
    </w:p>
    <w:tbl>
      <w:tblPr>
        <w:tblStyle w:val="ab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10"/>
        <w:gridCol w:w="2977"/>
        <w:gridCol w:w="2835"/>
      </w:tblGrid>
      <w:tr w:rsidR="00951D96" w:rsidTr="00286EC9">
        <w:tc>
          <w:tcPr>
            <w:tcW w:w="2127" w:type="dxa"/>
          </w:tcPr>
          <w:p w:rsidR="00951D96" w:rsidRDefault="00951D96" w:rsidP="00457099">
            <w:pPr>
              <w:pStyle w:val="a7"/>
              <w:ind w:left="0"/>
              <w:jc w:val="both"/>
            </w:pPr>
          </w:p>
        </w:tc>
        <w:tc>
          <w:tcPr>
            <w:tcW w:w="2410" w:type="dxa"/>
          </w:tcPr>
          <w:p w:rsidR="00951D96" w:rsidRPr="00951D96" w:rsidRDefault="00951D96" w:rsidP="003A1B2D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2977" w:type="dxa"/>
          </w:tcPr>
          <w:p w:rsidR="00951D96" w:rsidRPr="00951D96" w:rsidRDefault="00951D96" w:rsidP="00951D96">
            <w:pPr>
              <w:jc w:val="both"/>
              <w:rPr>
                <w:sz w:val="20"/>
                <w:szCs w:val="20"/>
              </w:rPr>
            </w:pPr>
            <w:r w:rsidRPr="00951D96">
              <w:rPr>
                <w:sz w:val="20"/>
                <w:szCs w:val="20"/>
              </w:rPr>
              <w:t>Вручено повідомлень</w:t>
            </w:r>
          </w:p>
          <w:p w:rsidR="00951D96" w:rsidRDefault="00951D96" w:rsidP="00951D96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1D96">
              <w:rPr>
                <w:sz w:val="20"/>
                <w:szCs w:val="20"/>
              </w:rPr>
              <w:t>ро підозру</w:t>
            </w:r>
          </w:p>
          <w:p w:rsidR="003A1B2D" w:rsidRDefault="003A1B2D" w:rsidP="00951D96">
            <w:pPr>
              <w:pStyle w:val="a7"/>
              <w:ind w:left="0"/>
              <w:jc w:val="both"/>
            </w:pPr>
          </w:p>
        </w:tc>
        <w:tc>
          <w:tcPr>
            <w:tcW w:w="2835" w:type="dxa"/>
          </w:tcPr>
          <w:p w:rsidR="00951D96" w:rsidRPr="00951D96" w:rsidRDefault="00951D96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951D96">
              <w:rPr>
                <w:sz w:val="20"/>
                <w:szCs w:val="20"/>
              </w:rPr>
              <w:t>Направлено до суду з обвинувальним актом</w:t>
            </w:r>
          </w:p>
        </w:tc>
      </w:tr>
      <w:tr w:rsidR="003A1B2D" w:rsidTr="00286EC9">
        <w:tc>
          <w:tcPr>
            <w:tcW w:w="2127" w:type="dxa"/>
          </w:tcPr>
          <w:p w:rsidR="003A1B2D" w:rsidRDefault="003A1B2D" w:rsidP="00457099">
            <w:pPr>
              <w:pStyle w:val="a7"/>
              <w:ind w:left="0"/>
              <w:jc w:val="both"/>
            </w:pPr>
          </w:p>
        </w:tc>
        <w:tc>
          <w:tcPr>
            <w:tcW w:w="2410" w:type="dxa"/>
          </w:tcPr>
          <w:p w:rsidR="003A1B2D" w:rsidRDefault="003A1B2D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      2015      І півріччя</w:t>
            </w:r>
          </w:p>
          <w:p w:rsidR="003A1B2D" w:rsidRDefault="003A1B2D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2016</w:t>
            </w:r>
          </w:p>
        </w:tc>
        <w:tc>
          <w:tcPr>
            <w:tcW w:w="2977" w:type="dxa"/>
          </w:tcPr>
          <w:p w:rsidR="00286EC9" w:rsidRPr="00286EC9" w:rsidRDefault="00286EC9" w:rsidP="00286EC9">
            <w:pPr>
              <w:jc w:val="both"/>
              <w:rPr>
                <w:sz w:val="20"/>
                <w:szCs w:val="20"/>
              </w:rPr>
            </w:pPr>
            <w:r w:rsidRPr="00286EC9">
              <w:rPr>
                <w:sz w:val="20"/>
                <w:szCs w:val="20"/>
              </w:rPr>
              <w:t xml:space="preserve">2014      </w:t>
            </w:r>
            <w:r>
              <w:rPr>
                <w:sz w:val="20"/>
                <w:szCs w:val="20"/>
              </w:rPr>
              <w:t xml:space="preserve">   </w:t>
            </w:r>
            <w:r w:rsidRPr="00286EC9">
              <w:rPr>
                <w:sz w:val="20"/>
                <w:szCs w:val="20"/>
              </w:rPr>
              <w:t xml:space="preserve"> 2015     </w:t>
            </w:r>
            <w:r>
              <w:rPr>
                <w:sz w:val="20"/>
                <w:szCs w:val="20"/>
              </w:rPr>
              <w:t xml:space="preserve">      </w:t>
            </w:r>
            <w:r w:rsidRPr="00286EC9">
              <w:rPr>
                <w:sz w:val="20"/>
                <w:szCs w:val="20"/>
              </w:rPr>
              <w:t xml:space="preserve"> І півріччя</w:t>
            </w:r>
          </w:p>
          <w:p w:rsidR="003A1B2D" w:rsidRPr="00951D96" w:rsidRDefault="00286EC9" w:rsidP="00286EC9">
            <w:pPr>
              <w:jc w:val="both"/>
              <w:rPr>
                <w:sz w:val="20"/>
                <w:szCs w:val="20"/>
              </w:rPr>
            </w:pPr>
            <w:r w:rsidRPr="00286EC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86EC9"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</w:tcPr>
          <w:p w:rsidR="00286EC9" w:rsidRPr="00286EC9" w:rsidRDefault="00286EC9" w:rsidP="00286EC9">
            <w:pPr>
              <w:jc w:val="both"/>
              <w:rPr>
                <w:sz w:val="20"/>
                <w:szCs w:val="20"/>
              </w:rPr>
            </w:pPr>
            <w:r w:rsidRPr="00286EC9">
              <w:rPr>
                <w:sz w:val="20"/>
                <w:szCs w:val="20"/>
              </w:rPr>
              <w:t xml:space="preserve">2014      </w:t>
            </w:r>
            <w:r>
              <w:rPr>
                <w:sz w:val="20"/>
                <w:szCs w:val="20"/>
              </w:rPr>
              <w:t xml:space="preserve">    </w:t>
            </w:r>
            <w:r w:rsidRPr="00286EC9">
              <w:rPr>
                <w:sz w:val="20"/>
                <w:szCs w:val="20"/>
              </w:rPr>
              <w:t xml:space="preserve"> 2015     </w:t>
            </w:r>
            <w:r>
              <w:rPr>
                <w:sz w:val="20"/>
                <w:szCs w:val="20"/>
              </w:rPr>
              <w:t xml:space="preserve"> </w:t>
            </w:r>
            <w:r w:rsidRPr="00286EC9">
              <w:rPr>
                <w:sz w:val="20"/>
                <w:szCs w:val="20"/>
              </w:rPr>
              <w:t xml:space="preserve"> І півріччя</w:t>
            </w:r>
          </w:p>
          <w:p w:rsidR="003A1B2D" w:rsidRPr="00951D96" w:rsidRDefault="00286EC9" w:rsidP="00286EC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86EC9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86E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86EC9">
              <w:rPr>
                <w:sz w:val="20"/>
                <w:szCs w:val="20"/>
              </w:rPr>
              <w:t>2016</w:t>
            </w:r>
          </w:p>
        </w:tc>
      </w:tr>
      <w:tr w:rsidR="00951D96" w:rsidTr="00286EC9">
        <w:tc>
          <w:tcPr>
            <w:tcW w:w="2127" w:type="dxa"/>
          </w:tcPr>
          <w:p w:rsidR="00951D96" w:rsidRPr="00DB20C0" w:rsidRDefault="00951D96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B20C0">
              <w:rPr>
                <w:sz w:val="20"/>
                <w:szCs w:val="20"/>
              </w:rPr>
              <w:t>Крадіжка (ст.185 КК)</w:t>
            </w:r>
          </w:p>
        </w:tc>
        <w:tc>
          <w:tcPr>
            <w:tcW w:w="2410" w:type="dxa"/>
          </w:tcPr>
          <w:p w:rsidR="00951D96" w:rsidRPr="00286EC9" w:rsidRDefault="00951D96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226833</w:t>
            </w:r>
            <w:r w:rsidR="003A1B2D" w:rsidRPr="00286EC9">
              <w:rPr>
                <w:sz w:val="16"/>
                <w:szCs w:val="16"/>
              </w:rPr>
              <w:t xml:space="preserve">    273756   </w:t>
            </w:r>
            <w:r w:rsidR="002F412B">
              <w:rPr>
                <w:sz w:val="16"/>
                <w:szCs w:val="16"/>
              </w:rPr>
              <w:t xml:space="preserve">   </w:t>
            </w:r>
            <w:r w:rsidR="003A1B2D" w:rsidRPr="00286EC9">
              <w:rPr>
                <w:sz w:val="16"/>
                <w:szCs w:val="16"/>
              </w:rPr>
              <w:t>709192</w:t>
            </w:r>
          </w:p>
        </w:tc>
        <w:tc>
          <w:tcPr>
            <w:tcW w:w="2977" w:type="dxa"/>
          </w:tcPr>
          <w:p w:rsidR="00951D96" w:rsidRPr="00286EC9" w:rsidRDefault="00951D96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70519</w:t>
            </w:r>
            <w:r w:rsidR="00DB20C0" w:rsidRPr="00286EC9">
              <w:rPr>
                <w:sz w:val="16"/>
                <w:szCs w:val="16"/>
              </w:rPr>
              <w:t xml:space="preserve"> (31%)</w:t>
            </w:r>
            <w:r w:rsidR="00286EC9" w:rsidRPr="00286EC9">
              <w:rPr>
                <w:sz w:val="16"/>
                <w:szCs w:val="16"/>
              </w:rPr>
              <w:t xml:space="preserve"> 75657 (27%) 107918 (</w:t>
            </w:r>
            <w:r w:rsidR="00C633A5">
              <w:rPr>
                <w:sz w:val="16"/>
                <w:szCs w:val="16"/>
              </w:rPr>
              <w:t>15%)</w:t>
            </w:r>
          </w:p>
        </w:tc>
        <w:tc>
          <w:tcPr>
            <w:tcW w:w="2835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64624 (28%)</w:t>
            </w:r>
            <w:r w:rsidR="00286EC9">
              <w:rPr>
                <w:sz w:val="16"/>
                <w:szCs w:val="16"/>
              </w:rPr>
              <w:t xml:space="preserve">  70276</w:t>
            </w:r>
            <w:r w:rsidR="005A0044">
              <w:rPr>
                <w:sz w:val="16"/>
                <w:szCs w:val="16"/>
              </w:rPr>
              <w:t xml:space="preserve"> </w:t>
            </w:r>
            <w:r w:rsidR="00286EC9">
              <w:rPr>
                <w:sz w:val="16"/>
                <w:szCs w:val="16"/>
              </w:rPr>
              <w:t>(25%)</w:t>
            </w:r>
            <w:r w:rsidR="00C633A5">
              <w:rPr>
                <w:sz w:val="16"/>
                <w:szCs w:val="16"/>
              </w:rPr>
              <w:t xml:space="preserve"> 91220</w:t>
            </w:r>
            <w:r w:rsidR="005A0044">
              <w:rPr>
                <w:sz w:val="16"/>
                <w:szCs w:val="16"/>
              </w:rPr>
              <w:t xml:space="preserve"> (13%)</w:t>
            </w:r>
          </w:p>
        </w:tc>
      </w:tr>
      <w:tr w:rsidR="00951D96" w:rsidTr="00286EC9">
        <w:tc>
          <w:tcPr>
            <w:tcW w:w="2127" w:type="dxa"/>
          </w:tcPr>
          <w:p w:rsidR="00951D96" w:rsidRPr="00DB20C0" w:rsidRDefault="00C633A5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Грабіж </w:t>
            </w:r>
            <w:r w:rsidR="00DB20C0">
              <w:rPr>
                <w:sz w:val="20"/>
                <w:szCs w:val="20"/>
              </w:rPr>
              <w:t>(ст.186 КК)</w:t>
            </w:r>
          </w:p>
        </w:tc>
        <w:tc>
          <w:tcPr>
            <w:tcW w:w="2410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20541</w:t>
            </w:r>
            <w:r w:rsidR="003A1B2D" w:rsidRPr="00286EC9">
              <w:rPr>
                <w:sz w:val="16"/>
                <w:szCs w:val="16"/>
              </w:rPr>
              <w:t xml:space="preserve">      22108      </w:t>
            </w:r>
            <w:r w:rsidR="002F412B">
              <w:rPr>
                <w:sz w:val="16"/>
                <w:szCs w:val="16"/>
              </w:rPr>
              <w:t xml:space="preserve">   </w:t>
            </w:r>
            <w:r w:rsidR="00286EC9" w:rsidRPr="00286EC9">
              <w:rPr>
                <w:sz w:val="16"/>
                <w:szCs w:val="16"/>
              </w:rPr>
              <w:t>45170</w:t>
            </w:r>
          </w:p>
        </w:tc>
        <w:tc>
          <w:tcPr>
            <w:tcW w:w="2977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7638 (37%)</w:t>
            </w:r>
            <w:r w:rsidR="00286EC9">
              <w:rPr>
                <w:sz w:val="16"/>
                <w:szCs w:val="16"/>
              </w:rPr>
              <w:t xml:space="preserve">   7174</w:t>
            </w:r>
            <w:r w:rsidR="005A0044">
              <w:rPr>
                <w:sz w:val="16"/>
                <w:szCs w:val="16"/>
              </w:rPr>
              <w:t xml:space="preserve"> </w:t>
            </w:r>
            <w:r w:rsidR="00286EC9">
              <w:rPr>
                <w:sz w:val="16"/>
                <w:szCs w:val="16"/>
              </w:rPr>
              <w:t>(32%)</w:t>
            </w:r>
            <w:r w:rsidR="00C633A5">
              <w:rPr>
                <w:sz w:val="16"/>
                <w:szCs w:val="16"/>
              </w:rPr>
              <w:t xml:space="preserve">    10287</w:t>
            </w:r>
            <w:r w:rsidR="005A0044">
              <w:rPr>
                <w:sz w:val="16"/>
                <w:szCs w:val="16"/>
              </w:rPr>
              <w:t xml:space="preserve"> </w:t>
            </w:r>
            <w:r w:rsidR="00C633A5">
              <w:rPr>
                <w:sz w:val="16"/>
                <w:szCs w:val="16"/>
              </w:rPr>
              <w:t>(</w:t>
            </w:r>
            <w:r w:rsidR="005A0044">
              <w:rPr>
                <w:sz w:val="16"/>
                <w:szCs w:val="16"/>
              </w:rPr>
              <w:t>22%)</w:t>
            </w:r>
          </w:p>
        </w:tc>
        <w:tc>
          <w:tcPr>
            <w:tcW w:w="2835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6768 (32%)</w:t>
            </w:r>
            <w:r w:rsidR="00286EC9">
              <w:rPr>
                <w:sz w:val="16"/>
                <w:szCs w:val="16"/>
              </w:rPr>
              <w:t xml:space="preserve">   6398</w:t>
            </w:r>
            <w:r w:rsidR="005A0044">
              <w:rPr>
                <w:sz w:val="16"/>
                <w:szCs w:val="16"/>
              </w:rPr>
              <w:t xml:space="preserve"> </w:t>
            </w:r>
            <w:r w:rsidR="00286EC9">
              <w:rPr>
                <w:sz w:val="16"/>
                <w:szCs w:val="16"/>
              </w:rPr>
              <w:t>(29%)</w:t>
            </w:r>
            <w:r w:rsidR="00C633A5">
              <w:rPr>
                <w:sz w:val="16"/>
                <w:szCs w:val="16"/>
              </w:rPr>
              <w:t xml:space="preserve">    7773</w:t>
            </w:r>
            <w:r w:rsidR="005A0044">
              <w:rPr>
                <w:sz w:val="16"/>
                <w:szCs w:val="16"/>
              </w:rPr>
              <w:t xml:space="preserve"> (17%)</w:t>
            </w:r>
          </w:p>
        </w:tc>
      </w:tr>
      <w:tr w:rsidR="00951D96" w:rsidTr="00286EC9">
        <w:tc>
          <w:tcPr>
            <w:tcW w:w="2127" w:type="dxa"/>
          </w:tcPr>
          <w:p w:rsidR="00951D96" w:rsidRPr="00DB20C0" w:rsidRDefault="00C633A5" w:rsidP="00457099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Розбій </w:t>
            </w:r>
            <w:r w:rsidR="00DB20C0">
              <w:rPr>
                <w:sz w:val="20"/>
                <w:szCs w:val="20"/>
              </w:rPr>
              <w:t>(ст. 187 КК)</w:t>
            </w:r>
          </w:p>
        </w:tc>
        <w:tc>
          <w:tcPr>
            <w:tcW w:w="2410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3895</w:t>
            </w:r>
            <w:r w:rsidR="00286EC9" w:rsidRPr="00286EC9">
              <w:rPr>
                <w:sz w:val="16"/>
                <w:szCs w:val="16"/>
              </w:rPr>
              <w:t xml:space="preserve">        3556        </w:t>
            </w:r>
            <w:r w:rsidR="002F412B">
              <w:rPr>
                <w:sz w:val="16"/>
                <w:szCs w:val="16"/>
              </w:rPr>
              <w:t xml:space="preserve">   </w:t>
            </w:r>
            <w:r w:rsidR="00286EC9" w:rsidRPr="00286EC9">
              <w:rPr>
                <w:sz w:val="16"/>
                <w:szCs w:val="16"/>
              </w:rPr>
              <w:t>7828</w:t>
            </w:r>
          </w:p>
        </w:tc>
        <w:tc>
          <w:tcPr>
            <w:tcW w:w="2977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1812 (46%)</w:t>
            </w:r>
            <w:r w:rsidR="00C633A5">
              <w:rPr>
                <w:sz w:val="16"/>
                <w:szCs w:val="16"/>
              </w:rPr>
              <w:t xml:space="preserve">  1843</w:t>
            </w:r>
            <w:r w:rsidR="005A0044">
              <w:rPr>
                <w:sz w:val="16"/>
                <w:szCs w:val="16"/>
              </w:rPr>
              <w:t xml:space="preserve"> </w:t>
            </w:r>
            <w:r w:rsidR="00C633A5">
              <w:rPr>
                <w:sz w:val="16"/>
                <w:szCs w:val="16"/>
              </w:rPr>
              <w:t>(52%)      3438</w:t>
            </w:r>
            <w:r w:rsidR="005A0044">
              <w:rPr>
                <w:sz w:val="16"/>
                <w:szCs w:val="16"/>
              </w:rPr>
              <w:t xml:space="preserve"> </w:t>
            </w:r>
            <w:r w:rsidR="00C633A5">
              <w:rPr>
                <w:sz w:val="16"/>
                <w:szCs w:val="16"/>
              </w:rPr>
              <w:t>(</w:t>
            </w:r>
            <w:r w:rsidR="005A0044">
              <w:rPr>
                <w:sz w:val="16"/>
                <w:szCs w:val="16"/>
              </w:rPr>
              <w:t>44%)</w:t>
            </w:r>
          </w:p>
        </w:tc>
        <w:tc>
          <w:tcPr>
            <w:tcW w:w="2835" w:type="dxa"/>
          </w:tcPr>
          <w:p w:rsidR="00951D96" w:rsidRPr="00286EC9" w:rsidRDefault="00DB20C0" w:rsidP="00457099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286EC9">
              <w:rPr>
                <w:sz w:val="16"/>
                <w:szCs w:val="16"/>
              </w:rPr>
              <w:t>1410 (36%)</w:t>
            </w:r>
            <w:r w:rsidR="005A0044">
              <w:rPr>
                <w:sz w:val="16"/>
                <w:szCs w:val="16"/>
              </w:rPr>
              <w:t xml:space="preserve">  </w:t>
            </w:r>
            <w:r w:rsidR="00C633A5">
              <w:rPr>
                <w:sz w:val="16"/>
                <w:szCs w:val="16"/>
              </w:rPr>
              <w:t>1457</w:t>
            </w:r>
            <w:r w:rsidR="005A0044">
              <w:rPr>
                <w:sz w:val="16"/>
                <w:szCs w:val="16"/>
              </w:rPr>
              <w:t xml:space="preserve"> </w:t>
            </w:r>
            <w:r w:rsidR="00C633A5">
              <w:rPr>
                <w:sz w:val="16"/>
                <w:szCs w:val="16"/>
              </w:rPr>
              <w:t xml:space="preserve">( </w:t>
            </w:r>
            <w:r w:rsidR="005A0044">
              <w:rPr>
                <w:sz w:val="16"/>
                <w:szCs w:val="16"/>
              </w:rPr>
              <w:t xml:space="preserve">41%)   </w:t>
            </w:r>
            <w:r w:rsidR="00C633A5">
              <w:rPr>
                <w:sz w:val="16"/>
                <w:szCs w:val="16"/>
              </w:rPr>
              <w:t xml:space="preserve"> 1965</w:t>
            </w:r>
            <w:r w:rsidR="005A0044">
              <w:rPr>
                <w:sz w:val="16"/>
                <w:szCs w:val="16"/>
              </w:rPr>
              <w:t xml:space="preserve"> (25%)</w:t>
            </w:r>
          </w:p>
        </w:tc>
      </w:tr>
    </w:tbl>
    <w:p w:rsidR="00951D96" w:rsidRDefault="00951D96" w:rsidP="00457099">
      <w:pPr>
        <w:pStyle w:val="a7"/>
        <w:ind w:left="0" w:firstLine="705"/>
        <w:jc w:val="both"/>
      </w:pPr>
    </w:p>
    <w:p w:rsidR="00D74218" w:rsidRDefault="002F412B" w:rsidP="005A0044">
      <w:pPr>
        <w:ind w:firstLine="705"/>
        <w:jc w:val="both"/>
      </w:pPr>
      <w:r>
        <w:t>З</w:t>
      </w:r>
      <w:r w:rsidR="005A0044">
        <w:t xml:space="preserve"> аналізу наведених статистичних даних ми можемо дійти висновку, що </w:t>
      </w:r>
      <w:r w:rsidR="005A0044" w:rsidRPr="005A0044">
        <w:t xml:space="preserve">причиною </w:t>
      </w:r>
      <w:r w:rsidR="005A0044">
        <w:t>«</w:t>
      </w:r>
      <w:r w:rsidR="005A0044" w:rsidRPr="005A0044">
        <w:t>неефективності</w:t>
      </w:r>
      <w:r w:rsidR="005A0044">
        <w:t>»</w:t>
      </w:r>
      <w:r w:rsidR="00050828">
        <w:t xml:space="preserve"> приписів кримінального закону перш за все є не «м’яке покарання»</w:t>
      </w:r>
      <w:r w:rsidR="00050828" w:rsidRPr="00050828">
        <w:t xml:space="preserve"> </w:t>
      </w:r>
      <w:r w:rsidR="00050828">
        <w:t>(</w:t>
      </w:r>
      <w:r w:rsidR="005A0044">
        <w:t xml:space="preserve">як зазначають ініціатори проекту в Пояснювальній </w:t>
      </w:r>
      <w:r w:rsidR="00050828">
        <w:t>записці), а</w:t>
      </w:r>
      <w:r>
        <w:t xml:space="preserve"> скоріше</w:t>
      </w:r>
      <w:r w:rsidR="00050828">
        <w:t xml:space="preserve"> </w:t>
      </w:r>
      <w:r w:rsidR="005A0044" w:rsidRPr="005A0044">
        <w:t xml:space="preserve">пасивність або </w:t>
      </w:r>
      <w:r>
        <w:t>неефективність</w:t>
      </w:r>
      <w:r w:rsidR="005A0044" w:rsidRPr="005A0044">
        <w:t xml:space="preserve"> державних органів у боротьбі з відповідними правопорушеннями</w:t>
      </w:r>
      <w:r w:rsidR="00E81689">
        <w:t xml:space="preserve"> (зокрема, певні недоліки реформування правоохоронних органів)</w:t>
      </w:r>
      <w:r w:rsidR="005A0044" w:rsidRPr="005A0044">
        <w:t xml:space="preserve">, </w:t>
      </w:r>
      <w:r w:rsidR="00E81689">
        <w:t>а також сучасн</w:t>
      </w:r>
      <w:r>
        <w:t>а</w:t>
      </w:r>
      <w:r w:rsidR="00E81689">
        <w:t xml:space="preserve"> економічн</w:t>
      </w:r>
      <w:r>
        <w:t>а</w:t>
      </w:r>
      <w:r w:rsidR="00E81689">
        <w:t xml:space="preserve"> та соціальн</w:t>
      </w:r>
      <w:r>
        <w:t>а ситуація в Україні</w:t>
      </w:r>
      <w:r w:rsidR="00E81689">
        <w:t xml:space="preserve"> (економічна та політична нестабільність, </w:t>
      </w:r>
      <w:r>
        <w:t>різке падіння добробуту</w:t>
      </w:r>
      <w:r w:rsidR="00E81689">
        <w:t xml:space="preserve"> населення країни, люмпенізація тощо). Тому </w:t>
      </w:r>
      <w:r w:rsidR="005A0044" w:rsidRPr="005A0044">
        <w:t>одне лише посилення встановлених законом санкцій позитивних результатів дати не може.</w:t>
      </w:r>
    </w:p>
    <w:p w:rsidR="00E81689" w:rsidRDefault="00E81689" w:rsidP="005A0044">
      <w:pPr>
        <w:ind w:firstLine="705"/>
        <w:jc w:val="both"/>
      </w:pPr>
      <w:r w:rsidRPr="00E81689">
        <w:t>На наш погляд, існуючі види і розміри покарань протиправні діяння</w:t>
      </w:r>
      <w:r w:rsidR="002F412B">
        <w:t>, про які йдеться у проекті, є цілком достатніми за умови</w:t>
      </w:r>
      <w:r w:rsidRPr="00E81689">
        <w:t xml:space="preserve"> дотримання принципу невідворотності покарання у комплексі з  вжиттям заходів економічного характеру.</w:t>
      </w:r>
      <w:r w:rsidR="002F412B">
        <w:t xml:space="preserve"> У разі незабезпечення невідворотності покарання запропоновані у проекті зміни так чи інакше не дадуть позитивного ефекту.</w:t>
      </w:r>
    </w:p>
    <w:p w:rsidR="00D2606C" w:rsidRDefault="003912B7" w:rsidP="00D2606C">
      <w:pPr>
        <w:ind w:firstLine="705"/>
        <w:jc w:val="both"/>
      </w:pPr>
      <w:r>
        <w:t xml:space="preserve">2. </w:t>
      </w:r>
      <w:r w:rsidR="00D2606C" w:rsidRPr="00D2606C">
        <w:t xml:space="preserve">Передбачені </w:t>
      </w:r>
      <w:r>
        <w:t xml:space="preserve">у </w:t>
      </w:r>
      <w:r w:rsidR="00D2606C" w:rsidRPr="00D2606C">
        <w:t>проект</w:t>
      </w:r>
      <w:r>
        <w:t>і</w:t>
      </w:r>
      <w:r w:rsidR="00D2606C" w:rsidRPr="00D2606C">
        <w:t xml:space="preserve"> положення про збільшення мінімального строку</w:t>
      </w:r>
      <w:r w:rsidR="00D2606C">
        <w:t xml:space="preserve"> позбавлення волі у </w:t>
      </w:r>
      <w:r w:rsidR="00D2606C" w:rsidRPr="00D2606C">
        <w:t xml:space="preserve"> </w:t>
      </w:r>
      <w:r w:rsidR="00D2606C">
        <w:t xml:space="preserve">частині 3 статті 185, частині 1 статті 186 та частині 1 статті 187 КК </w:t>
      </w:r>
      <w:r w:rsidR="00D2606C" w:rsidRPr="00D2606C">
        <w:t>виглядають сумнівними</w:t>
      </w:r>
      <w:r>
        <w:t>, оскільки</w:t>
      </w:r>
      <w:r w:rsidR="00D2606C" w:rsidRPr="00D2606C">
        <w:t xml:space="preserve"> їх прийняття</w:t>
      </w:r>
      <w:r w:rsidR="00D2606C">
        <w:t xml:space="preserve"> (в сукупності з іншими пропозиціями проекту)</w:t>
      </w:r>
      <w:r w:rsidR="00D2606C" w:rsidRPr="00D2606C">
        <w:t xml:space="preserve"> призведе до такого зменшення різниці між мінімальним та максимальним строками позбавлення волі у цих нормах, яке фактично зведе нанівець можливість застосування суддями принципу індивідуалізації кримінального покарання</w:t>
      </w:r>
      <w:r w:rsidR="00D2606C">
        <w:t xml:space="preserve"> (пункт 3 частини 1 статті 65 КК).</w:t>
      </w:r>
    </w:p>
    <w:p w:rsidR="00D2606C" w:rsidRDefault="00B90E87" w:rsidP="00B90E87">
      <w:pPr>
        <w:ind w:firstLine="705"/>
        <w:jc w:val="both"/>
      </w:pPr>
      <w:r>
        <w:t>Звертаємо також увагу на те, що запропонована редакція частин</w:t>
      </w:r>
      <w:r w:rsidR="003912B7">
        <w:t>и</w:t>
      </w:r>
      <w:r>
        <w:t xml:space="preserve"> 1 статті 186 КК </w:t>
      </w:r>
      <w:r w:rsidR="00D2606C" w:rsidRPr="00D2606C">
        <w:t>містить бе</w:t>
      </w:r>
      <w:r>
        <w:t>зальтернативну санкцію</w:t>
      </w:r>
      <w:r w:rsidR="00D2606C" w:rsidRPr="00D2606C">
        <w:t>, тобто єдиним видом кримінального покарання ініціатор</w:t>
      </w:r>
      <w:r>
        <w:t>и проекту пропонують</w:t>
      </w:r>
      <w:r w:rsidR="00D2606C" w:rsidRPr="00D2606C">
        <w:t xml:space="preserve"> визнати позбавлення волі на певний строк. Але ця пропозиція у даному конкретному випадку суперечить загальним засадам призначення покарання (стаття 65 КК), відповідно до яких особі, яка вчинила злочин, має бути призначене покарання, необхідне й достатнє для її виправлення та попередження нових злочинів. Більш суворий вид з числа передбачених за вчинений злочин призначається лише у разі, якщо менш суворий вид покарання буде недостатній для виправлення особи та </w:t>
      </w:r>
      <w:r w:rsidR="00D2606C" w:rsidRPr="00D2606C">
        <w:lastRenderedPageBreak/>
        <w:t>попередження вчинення нею нових злочинів. Встановлення покарання лише у виді позбавлення волі є цілком зрозумілим та виправданим, наприклад, за вчинення особливо тяжкого або насильницького злочину, але злочин, про який йдеться у законопроекті, таким не є. Тому в разі реалізації запропонованих змін суд при вирішенні питання про призначення покарання за злочинні дії, передбач</w:t>
      </w:r>
      <w:r>
        <w:t>ені частиною 1 статті 186</w:t>
      </w:r>
      <w:r w:rsidR="00D2606C" w:rsidRPr="00D2606C">
        <w:t xml:space="preserve"> КК, буде позбавлений можливості обирати покарання, адекватне небезпечності вчиненого злочину.</w:t>
      </w:r>
    </w:p>
    <w:p w:rsidR="00B90E87" w:rsidRDefault="00B90E87" w:rsidP="00B90E87">
      <w:pPr>
        <w:ind w:firstLine="705"/>
        <w:jc w:val="both"/>
      </w:pPr>
      <w:r>
        <w:t>З огляду на викладене Головне управління не вважає за можливе підтримати запропоновані у законопроекті зміни КК.</w:t>
      </w:r>
    </w:p>
    <w:p w:rsidR="00B90E87" w:rsidRDefault="00B90E87" w:rsidP="00B90E87">
      <w:pPr>
        <w:ind w:firstLine="705"/>
        <w:jc w:val="both"/>
      </w:pPr>
    </w:p>
    <w:p w:rsidR="00B90E87" w:rsidRPr="00B90E87" w:rsidRDefault="00B90E87" w:rsidP="00B90E87">
      <w:pPr>
        <w:ind w:firstLine="705"/>
        <w:jc w:val="both"/>
        <w:rPr>
          <w:b/>
        </w:rPr>
      </w:pPr>
      <w:r w:rsidRPr="00B90E87">
        <w:rPr>
          <w:b/>
          <w:u w:val="single"/>
        </w:rPr>
        <w:t>Узагальнюючий висновок:</w:t>
      </w:r>
      <w:r w:rsidRPr="00B90E87">
        <w:rPr>
          <w:b/>
        </w:rPr>
        <w:t xml:space="preserve"> за результатами розгляду в першому читанні законопроект доцільно відхилити.</w:t>
      </w:r>
    </w:p>
    <w:p w:rsidR="00B90E87" w:rsidRPr="00B90E87" w:rsidRDefault="00B90E87" w:rsidP="00B90E87">
      <w:pPr>
        <w:ind w:firstLine="705"/>
        <w:jc w:val="both"/>
        <w:rPr>
          <w:b/>
        </w:rPr>
      </w:pPr>
    </w:p>
    <w:p w:rsidR="00D2606C" w:rsidRDefault="00B90E87" w:rsidP="00B90E87">
      <w:pPr>
        <w:ind w:firstLine="705"/>
        <w:jc w:val="both"/>
        <w:rPr>
          <w:b/>
        </w:rPr>
      </w:pPr>
      <w:r w:rsidRPr="00B90E87">
        <w:rPr>
          <w:b/>
        </w:rPr>
        <w:t>Керівник головного управління                                              В.І. Борденюк</w:t>
      </w:r>
    </w:p>
    <w:p w:rsidR="00B90E87" w:rsidRDefault="00B90E87" w:rsidP="00B90E87">
      <w:pPr>
        <w:ind w:firstLine="705"/>
        <w:jc w:val="both"/>
        <w:rPr>
          <w:b/>
        </w:rPr>
      </w:pPr>
    </w:p>
    <w:p w:rsidR="0098428F" w:rsidRPr="00B11323" w:rsidRDefault="00B90E87" w:rsidP="00B1132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Вик.</w:t>
      </w:r>
      <w:r w:rsidR="00B11323">
        <w:rPr>
          <w:sz w:val="24"/>
          <w:szCs w:val="24"/>
        </w:rPr>
        <w:t>: Кідіна Н.В.</w:t>
      </w:r>
      <w:r w:rsidR="00050828">
        <w:t xml:space="preserve"> </w:t>
      </w:r>
    </w:p>
    <w:sectPr w:rsidR="0098428F" w:rsidRPr="00B11323" w:rsidSect="00391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62" w:rsidRDefault="000F2C62" w:rsidP="008C2BB6">
      <w:r>
        <w:separator/>
      </w:r>
    </w:p>
  </w:endnote>
  <w:endnote w:type="continuationSeparator" w:id="0">
    <w:p w:rsidR="000F2C62" w:rsidRDefault="000F2C62" w:rsidP="008C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06683"/>
      <w:docPartObj>
        <w:docPartGallery w:val="Page Numbers (Bottom of Page)"/>
        <w:docPartUnique/>
      </w:docPartObj>
    </w:sdtPr>
    <w:sdtEndPr/>
    <w:sdtContent>
      <w:p w:rsidR="003912B7" w:rsidRDefault="00391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E5">
          <w:rPr>
            <w:noProof/>
          </w:rPr>
          <w:t>3</w:t>
        </w:r>
        <w:r>
          <w:fldChar w:fldCharType="end"/>
        </w:r>
      </w:p>
    </w:sdtContent>
  </w:sdt>
  <w:p w:rsidR="00B11323" w:rsidRDefault="00B11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B7" w:rsidRDefault="003912B7">
    <w:pPr>
      <w:pStyle w:val="a5"/>
      <w:jc w:val="right"/>
    </w:pPr>
  </w:p>
  <w:p w:rsidR="003912B7" w:rsidRDefault="00391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62" w:rsidRDefault="000F2C62" w:rsidP="008C2BB6">
      <w:r>
        <w:separator/>
      </w:r>
    </w:p>
  </w:footnote>
  <w:footnote w:type="continuationSeparator" w:id="0">
    <w:p w:rsidR="000F2C62" w:rsidRDefault="000F2C62" w:rsidP="008C2BB6">
      <w:r>
        <w:continuationSeparator/>
      </w:r>
    </w:p>
  </w:footnote>
  <w:footnote w:id="1">
    <w:p w:rsidR="00DB20C0" w:rsidRDefault="00DB20C0" w:rsidP="003A1B2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3A1B2D">
        <w:t>Офіційний сайт</w:t>
      </w:r>
      <w:r w:rsidR="003A1B2D" w:rsidRPr="003A1B2D">
        <w:t xml:space="preserve"> Генеральної прокуратури України. – [Електронний ресурс] – Режим доступу: http://www.gp.gov.ua/ua/stst2011.html?dir_id=104402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B6" w:rsidRPr="008C2BB6" w:rsidRDefault="008C2BB6" w:rsidP="008C2BB6">
    <w:pPr>
      <w:pStyle w:val="a3"/>
      <w:jc w:val="right"/>
      <w:rPr>
        <w:sz w:val="24"/>
        <w:szCs w:val="24"/>
      </w:rPr>
    </w:pPr>
    <w:r w:rsidRPr="008C2BB6">
      <w:rPr>
        <w:sz w:val="24"/>
        <w:szCs w:val="24"/>
      </w:rPr>
      <w:t>До № 4710 від 23 травня 2016 р.</w:t>
    </w:r>
  </w:p>
  <w:p w:rsidR="008C2BB6" w:rsidRPr="008C2BB6" w:rsidRDefault="003912B7" w:rsidP="008C2BB6">
    <w:pPr>
      <w:pStyle w:val="a3"/>
      <w:jc w:val="right"/>
      <w:rPr>
        <w:sz w:val="24"/>
        <w:szCs w:val="24"/>
      </w:rPr>
    </w:pPr>
    <w:r>
      <w:rPr>
        <w:sz w:val="24"/>
        <w:szCs w:val="24"/>
      </w:rPr>
      <w:t>Н</w:t>
    </w:r>
    <w:r w:rsidR="008C2BB6" w:rsidRPr="008C2BB6">
      <w:rPr>
        <w:sz w:val="24"/>
        <w:szCs w:val="24"/>
      </w:rPr>
      <w:t xml:space="preserve">.д. Шинькович А.В, Герега О.В. </w:t>
    </w:r>
  </w:p>
  <w:p w:rsidR="008C2BB6" w:rsidRDefault="008C2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B7" w:rsidRPr="008C2BB6" w:rsidRDefault="003912B7" w:rsidP="003912B7">
    <w:pPr>
      <w:pStyle w:val="a3"/>
      <w:jc w:val="right"/>
      <w:rPr>
        <w:sz w:val="24"/>
        <w:szCs w:val="24"/>
      </w:rPr>
    </w:pPr>
    <w:r w:rsidRPr="008C2BB6">
      <w:rPr>
        <w:sz w:val="24"/>
        <w:szCs w:val="24"/>
      </w:rPr>
      <w:t>До № 4710 від 23 травня 2016 р.</w:t>
    </w:r>
  </w:p>
  <w:p w:rsidR="003912B7" w:rsidRPr="008C2BB6" w:rsidRDefault="003912B7" w:rsidP="003912B7">
    <w:pPr>
      <w:pStyle w:val="a3"/>
      <w:jc w:val="right"/>
      <w:rPr>
        <w:sz w:val="24"/>
        <w:szCs w:val="24"/>
      </w:rPr>
    </w:pPr>
    <w:r>
      <w:rPr>
        <w:sz w:val="24"/>
        <w:szCs w:val="24"/>
      </w:rPr>
      <w:t>Н</w:t>
    </w:r>
    <w:r w:rsidRPr="008C2BB6">
      <w:rPr>
        <w:sz w:val="24"/>
        <w:szCs w:val="24"/>
      </w:rPr>
      <w:t xml:space="preserve">.д. Шинькович А.В, Герега О.В. </w:t>
    </w:r>
  </w:p>
  <w:p w:rsidR="003912B7" w:rsidRDefault="00391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1C5C"/>
    <w:multiLevelType w:val="hybridMultilevel"/>
    <w:tmpl w:val="D242A9E6"/>
    <w:lvl w:ilvl="0" w:tplc="CB982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7E7418"/>
    <w:multiLevelType w:val="hybridMultilevel"/>
    <w:tmpl w:val="50F08D60"/>
    <w:lvl w:ilvl="0" w:tplc="32A8D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B6"/>
    <w:rsid w:val="00050828"/>
    <w:rsid w:val="000A3AE2"/>
    <w:rsid w:val="000F2C62"/>
    <w:rsid w:val="00110590"/>
    <w:rsid w:val="002438CC"/>
    <w:rsid w:val="00286EC9"/>
    <w:rsid w:val="002E59E5"/>
    <w:rsid w:val="002F412B"/>
    <w:rsid w:val="002F5C62"/>
    <w:rsid w:val="003912B7"/>
    <w:rsid w:val="003A1B2D"/>
    <w:rsid w:val="003A2B53"/>
    <w:rsid w:val="00440784"/>
    <w:rsid w:val="00457099"/>
    <w:rsid w:val="005204CF"/>
    <w:rsid w:val="005A0044"/>
    <w:rsid w:val="0066510E"/>
    <w:rsid w:val="00771367"/>
    <w:rsid w:val="0086502A"/>
    <w:rsid w:val="008C2BB6"/>
    <w:rsid w:val="00951D96"/>
    <w:rsid w:val="0098428F"/>
    <w:rsid w:val="009F6E97"/>
    <w:rsid w:val="00AB6DA7"/>
    <w:rsid w:val="00B11323"/>
    <w:rsid w:val="00B90E87"/>
    <w:rsid w:val="00BC62B7"/>
    <w:rsid w:val="00C633A5"/>
    <w:rsid w:val="00D2606C"/>
    <w:rsid w:val="00D74218"/>
    <w:rsid w:val="00D967F6"/>
    <w:rsid w:val="00DB20C0"/>
    <w:rsid w:val="00E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C5B7-2EB1-427D-B9C8-112F9D7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B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C2BB6"/>
  </w:style>
  <w:style w:type="paragraph" w:styleId="a5">
    <w:name w:val="footer"/>
    <w:basedOn w:val="a"/>
    <w:link w:val="a6"/>
    <w:uiPriority w:val="99"/>
    <w:unhideWhenUsed/>
    <w:rsid w:val="008C2BB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C2BB6"/>
  </w:style>
  <w:style w:type="paragraph" w:styleId="a7">
    <w:name w:val="List Paragraph"/>
    <w:basedOn w:val="a"/>
    <w:uiPriority w:val="34"/>
    <w:qFormat/>
    <w:rsid w:val="002438C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57099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4570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7099"/>
    <w:rPr>
      <w:vertAlign w:val="superscript"/>
    </w:rPr>
  </w:style>
  <w:style w:type="table" w:styleId="ab">
    <w:name w:val="Table Grid"/>
    <w:basedOn w:val="a1"/>
    <w:uiPriority w:val="39"/>
    <w:rsid w:val="0095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51D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86502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E175-8213-4825-B8A5-D9583DE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Кідіна Наталя Володимирівна</dc:creator>
  <cp:keywords/>
  <dc:description/>
  <cp:lastModifiedBy>Наталія Олександрівна Ромашевська</cp:lastModifiedBy>
  <cp:revision>2</cp:revision>
  <cp:lastPrinted>2016-08-01T12:08:00Z</cp:lastPrinted>
  <dcterms:created xsi:type="dcterms:W3CDTF">2016-08-02T06:28:00Z</dcterms:created>
  <dcterms:modified xsi:type="dcterms:W3CDTF">2016-08-02T06:28:00Z</dcterms:modified>
</cp:coreProperties>
</file>