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16" w:rsidRDefault="00343616" w:rsidP="00343616">
      <w:pPr>
        <w:pStyle w:val="StyleZakonu"/>
        <w:spacing w:after="0" w:line="240" w:lineRule="auto"/>
        <w:ind w:firstLine="0"/>
        <w:jc w:val="right"/>
        <w:rPr>
          <w:sz w:val="28"/>
          <w:lang w:val="ru-RU" w:eastAsia="uk-UA"/>
        </w:rPr>
      </w:pPr>
      <w:r w:rsidRPr="00343616">
        <w:rPr>
          <w:sz w:val="28"/>
          <w:lang w:val="ru-RU" w:eastAsia="uk-UA"/>
        </w:rPr>
        <w:t>Проект</w:t>
      </w:r>
    </w:p>
    <w:p w:rsidR="00343616" w:rsidRDefault="00343616" w:rsidP="00343616">
      <w:pPr>
        <w:pStyle w:val="StyleZakonu"/>
        <w:spacing w:after="0" w:line="240" w:lineRule="auto"/>
        <w:ind w:firstLine="0"/>
        <w:jc w:val="right"/>
        <w:rPr>
          <w:sz w:val="28"/>
          <w:lang w:val="ru-RU" w:eastAsia="uk-UA"/>
        </w:rPr>
      </w:pPr>
      <w:r>
        <w:rPr>
          <w:sz w:val="28"/>
          <w:lang w:val="ru-RU" w:eastAsia="uk-UA"/>
        </w:rPr>
        <w:t>(Тираж 04.07.2018)</w:t>
      </w:r>
    </w:p>
    <w:p w:rsidR="00343616" w:rsidRDefault="00343616" w:rsidP="00343616">
      <w:pPr>
        <w:pStyle w:val="StyleZakonu"/>
        <w:spacing w:after="0" w:line="240" w:lineRule="auto"/>
        <w:ind w:firstLine="0"/>
        <w:rPr>
          <w:sz w:val="28"/>
          <w:lang w:val="ru-RU" w:eastAsia="uk-UA"/>
        </w:rPr>
      </w:pPr>
    </w:p>
    <w:p w:rsidR="00343616" w:rsidRPr="00343616" w:rsidRDefault="00343616" w:rsidP="00343616">
      <w:pPr>
        <w:pStyle w:val="StyleZakonu"/>
        <w:spacing w:after="0" w:line="240" w:lineRule="auto"/>
        <w:ind w:firstLine="0"/>
        <w:rPr>
          <w:sz w:val="28"/>
          <w:lang w:val="ru-RU" w:eastAsia="uk-UA"/>
        </w:rPr>
      </w:pPr>
    </w:p>
    <w:p w:rsidR="00343616" w:rsidRDefault="00343616" w:rsidP="00343616">
      <w:pPr>
        <w:pStyle w:val="StyleZakonu"/>
        <w:spacing w:after="0" w:line="240" w:lineRule="auto"/>
        <w:ind w:firstLine="0"/>
        <w:jc w:val="center"/>
        <w:rPr>
          <w:sz w:val="28"/>
          <w:lang w:eastAsia="uk-UA"/>
        </w:rPr>
      </w:pPr>
      <w:r w:rsidRPr="00343616">
        <w:rPr>
          <w:sz w:val="28"/>
          <w:lang w:eastAsia="uk-UA"/>
        </w:rPr>
        <w:t>ЗАКОН</w:t>
      </w:r>
      <w:r w:rsidRPr="00343616">
        <w:rPr>
          <w:sz w:val="28"/>
          <w:lang w:eastAsia="uk-UA"/>
        </w:rPr>
        <w:t xml:space="preserve"> </w:t>
      </w:r>
      <w:r w:rsidRPr="00343616">
        <w:rPr>
          <w:sz w:val="28"/>
          <w:lang w:eastAsia="uk-UA"/>
        </w:rPr>
        <w:t>УКРАЇНИ</w:t>
      </w:r>
    </w:p>
    <w:p w:rsidR="00343616" w:rsidRPr="00343616" w:rsidRDefault="00343616" w:rsidP="00343616">
      <w:pPr>
        <w:pStyle w:val="StyleZakonu"/>
        <w:spacing w:after="0" w:line="240" w:lineRule="auto"/>
        <w:ind w:firstLine="0"/>
        <w:jc w:val="center"/>
        <w:rPr>
          <w:sz w:val="28"/>
          <w:lang w:eastAsia="uk-UA"/>
        </w:rPr>
      </w:pPr>
    </w:p>
    <w:p w:rsidR="00343616" w:rsidRDefault="00343616" w:rsidP="00343616">
      <w:pPr>
        <w:pStyle w:val="StyleZakonu"/>
        <w:spacing w:after="0" w:line="240" w:lineRule="auto"/>
        <w:ind w:firstLine="0"/>
        <w:jc w:val="center"/>
        <w:rPr>
          <w:sz w:val="28"/>
        </w:rPr>
      </w:pPr>
      <w:r w:rsidRPr="00343616">
        <w:rPr>
          <w:sz w:val="28"/>
        </w:rPr>
        <w:t>Про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внесення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змін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деяких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законодавчих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України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щодо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врегулювання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проведення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деяких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фітосанітарних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процедур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Верховна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Рада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І.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Внести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законодавчих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Кодексі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адміністративні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правопорушення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(Відомості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Верховної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Ради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УРСР,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1984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р.,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додаток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51,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1122):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главу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статтею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172</w:t>
      </w:r>
      <w:r w:rsidRPr="00343616">
        <w:rPr>
          <w:bCs/>
          <w:sz w:val="28"/>
          <w:vertAlign w:val="superscript"/>
        </w:rPr>
        <w:t>1-1</w:t>
      </w:r>
      <w:r w:rsidRPr="00343616">
        <w:rPr>
          <w:bCs/>
          <w:sz w:val="28"/>
          <w:vertAlign w:val="superscript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172</w:t>
      </w:r>
      <w:r w:rsidRPr="00343616">
        <w:rPr>
          <w:bCs/>
          <w:sz w:val="28"/>
          <w:vertAlign w:val="superscript"/>
        </w:rPr>
        <w:t>1-1</w:t>
      </w:r>
      <w:r w:rsidRPr="00343616">
        <w:rPr>
          <w:bCs/>
          <w:sz w:val="28"/>
        </w:rPr>
        <w:t>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посадовими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особами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законодавства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sz w:val="28"/>
        </w:rPr>
      </w:pPr>
      <w:r w:rsidRPr="00343616">
        <w:rPr>
          <w:sz w:val="28"/>
        </w:rPr>
        <w:t>Повторне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протягом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року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порушення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посадовими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особами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лабораторії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законодавства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карантин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рослин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частині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проведення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(аналізів),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що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мало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наслідком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отримання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країни-імпортера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двох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більше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нотифікацій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невідповідність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фітосанітарним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заходам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Міжнародного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стандарту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фітосанітарних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заходів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№</w:t>
      </w:r>
      <w:r w:rsidRPr="00343616">
        <w:rPr>
          <w:sz w:val="28"/>
        </w:rPr>
        <w:t xml:space="preserve"> </w:t>
      </w:r>
      <w:r w:rsidRPr="00343616">
        <w:rPr>
          <w:sz w:val="28"/>
        </w:rPr>
        <w:t>13,</w:t>
      </w:r>
      <w:r w:rsidRPr="00343616">
        <w:rPr>
          <w:sz w:val="28"/>
        </w:rPr>
        <w:t xml:space="preserve"> </w:t>
      </w:r>
      <w:r w:rsidRPr="00343616">
        <w:rPr>
          <w:sz w:val="28"/>
        </w:rPr>
        <w:t>–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тягне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собою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накладення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штрафу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посадових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осіб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двохсот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неоподатковуваних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мінімумів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доходів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громадян»;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2)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першу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238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  <w:vertAlign w:val="superscript"/>
          <w:lang w:val="ru-RU"/>
        </w:rPr>
        <w:t xml:space="preserve"> </w:t>
      </w:r>
      <w:r w:rsidRPr="00343616">
        <w:rPr>
          <w:bCs/>
          <w:sz w:val="28"/>
        </w:rPr>
        <w:t>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словами: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«порушенням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посадовими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особами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законодавства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172</w:t>
      </w:r>
      <w:r w:rsidRPr="00343616">
        <w:rPr>
          <w:bCs/>
          <w:sz w:val="28"/>
          <w:vertAlign w:val="superscript"/>
        </w:rPr>
        <w:t>1-1</w:t>
      </w:r>
      <w:r w:rsidRPr="00343616">
        <w:rPr>
          <w:bCs/>
          <w:sz w:val="28"/>
        </w:rPr>
        <w:t>)».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2.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(Відомості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Верховної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Ради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2006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р.,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19-20,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167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наступними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змінами):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1)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тексті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після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слів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</w:t>
      </w:r>
      <w:proofErr w:type="spellStart"/>
      <w:r w:rsidRPr="00343616">
        <w:rPr>
          <w:sz w:val="28"/>
        </w:rPr>
        <w:t>фітосанітарна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експертиза»,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«(арбітражна)</w:t>
      </w:r>
      <w:r w:rsidRPr="00343616">
        <w:rPr>
          <w:sz w:val="28"/>
        </w:rPr>
        <w:t xml:space="preserve"> </w:t>
      </w:r>
      <w:r w:rsidRPr="00343616">
        <w:rPr>
          <w:sz w:val="28"/>
        </w:rPr>
        <w:t>експертиза»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всіх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відмінках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числах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доповнити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словом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«(аналізи)»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відповідному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відмінку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числі;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слова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«фумігація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(знезараження)»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всіх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відмінках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замінити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словом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«фумігація»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відповідному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відмінку;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слова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«процедура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перевірки»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всіх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відмінках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числах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замінити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словом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«перевірка»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відповідному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відмінку;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2)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першій: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урахуванням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алфавітного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порядку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термінами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«арбітражний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–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середньої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відібрана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своїми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характеристиками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рівноцінною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призначена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виїмка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точкова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проба,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взята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однієї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партії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частини;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візуальна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перевірка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фізична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перевірка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неозброєним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допомогою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лупи,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бінокуляра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мікроскопа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виявлення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без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державна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належить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управління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знезараження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–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методи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обробки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(фізичні,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хімічні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біологічні),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тому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числі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фумігація,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спрямовані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ліквідацію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шкідливих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організмів;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середньої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відібрана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призначена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зразок-документ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заражені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відібрані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ході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засвідчують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підприємство,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установа,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структурний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підрозділ,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намір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діяльність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перевірки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умовах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предмет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регульованих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ідентифікації;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нотифікація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невідповідність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заходам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заінтересованих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партнерів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серйозні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випадки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невідповідності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заходам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країни-імпортера;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об'єднана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сукупність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всіх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виїмок,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взятих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однієї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партії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частини;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  <w:highlight w:val="yellow"/>
        </w:rPr>
      </w:pPr>
      <w:r w:rsidRPr="00343616">
        <w:rPr>
          <w:bCs/>
          <w:sz w:val="28"/>
        </w:rPr>
        <w:t>огляд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візуальна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перевірка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та/або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партія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будь-яка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кількість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(товару),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характеризується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однорідністю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складу,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походження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сейф-пакет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одноразовий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пакет,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призначений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зберігання,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захисту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транспортування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зразк</w:t>
      </w:r>
      <w:proofErr w:type="spellEnd"/>
      <w:r w:rsidRPr="00343616">
        <w:rPr>
          <w:bCs/>
          <w:sz w:val="28"/>
          <w:lang w:val="ru-RU"/>
        </w:rPr>
        <w:t>а</w:t>
      </w:r>
      <w:r w:rsidRPr="00343616">
        <w:rPr>
          <w:bCs/>
          <w:sz w:val="28"/>
        </w:rPr>
        <w:t>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арбітражного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зразк</w:t>
      </w:r>
      <w:proofErr w:type="spellEnd"/>
      <w:r w:rsidRPr="00343616">
        <w:rPr>
          <w:bCs/>
          <w:sz w:val="28"/>
          <w:lang w:val="ru-RU"/>
        </w:rPr>
        <w:t>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зразк</w:t>
      </w:r>
      <w:proofErr w:type="spellEnd"/>
      <w:r w:rsidRPr="00343616">
        <w:rPr>
          <w:bCs/>
          <w:sz w:val="28"/>
          <w:lang w:val="ru-RU"/>
        </w:rPr>
        <w:t>а</w:t>
      </w:r>
      <w:r w:rsidRPr="00343616">
        <w:rPr>
          <w:bCs/>
          <w:sz w:val="28"/>
        </w:rPr>
        <w:t>-документа;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середня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проба,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сформована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однієї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декількох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об'єднаних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проб,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одночасно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формуються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та/або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sz w:val="28"/>
        </w:rPr>
        <w:t>фітосанітарна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лабораторія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–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це</w:t>
      </w:r>
      <w:r w:rsidRPr="00343616">
        <w:rPr>
          <w:sz w:val="28"/>
        </w:rPr>
        <w:t xml:space="preserve"> </w:t>
      </w:r>
      <w:r w:rsidRPr="00343616">
        <w:rPr>
          <w:sz w:val="28"/>
        </w:rPr>
        <w:t>лабораторія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будь-якої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форми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власності,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уповноважена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проведення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(аналізів)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центральним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органом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виконавчої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влади,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що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реалізує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державну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політику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сфері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карантину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рослин;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визначенні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терміна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«інспектування»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«правилам»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«заходам»;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«нагляд»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«нагляд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–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регульованого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допомогою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обстеження,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моніторингу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«обробка»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«обробка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офіційна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знищення,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інактивації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вилучення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стерилізації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знешкодження»;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«обстеження»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sz w:val="28"/>
        </w:rPr>
      </w:pPr>
      <w:r w:rsidRPr="00343616">
        <w:rPr>
          <w:sz w:val="28"/>
        </w:rPr>
        <w:t>«обстеження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-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офіційний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захід,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який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проводиться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певний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обмежений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період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часу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метою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визначення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характеристик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популяції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шкідливого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організму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або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визначення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видового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складу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присутніх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даній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зоні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шкідливих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організмів»;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«процедура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перевірки»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«перевірка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будь-які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«спостереження»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виключити;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-перевірка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умовах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предмет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ідентифікації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фітосанітарні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заходи»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фітосанітарні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законодавство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процедура,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спрямовані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попередження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появи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запобігання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поширенню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обмеження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економічно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несприятливого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впливу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регульованих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некарантинних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процедура»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спосіб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застосовування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включаючи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огляд,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нагляд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знезараженням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«фумігація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(знезараження)»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«фумігація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–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знезараження,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шляхом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обробки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хімічною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речовиною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газоподібному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повністю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переважно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впливає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новою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  <w:lang w:val="ru-RU"/>
        </w:rPr>
        <w:t>другою</w:t>
      </w:r>
      <w:r w:rsidRPr="00343616">
        <w:rPr>
          <w:bCs/>
          <w:sz w:val="28"/>
          <w:lang w:val="ru-RU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«Термін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«реальний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конфлікт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інтересів»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вживається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значенні,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наведеному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  <w:lang w:val="ru-RU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запобігання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корупції»;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3)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першій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7: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абзац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шостий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випадках,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абзац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двадцять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перший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«забезпечення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новими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абзацами</w:t>
      </w:r>
      <w:r w:rsidRPr="00343616">
        <w:rPr>
          <w:bCs/>
          <w:sz w:val="28"/>
          <w:lang w:val="ru-RU"/>
        </w:rPr>
        <w:t xml:space="preserve"> </w:t>
      </w:r>
      <w:proofErr w:type="spellStart"/>
      <w:r w:rsidRPr="00343616">
        <w:rPr>
          <w:bCs/>
          <w:sz w:val="28"/>
          <w:lang w:val="ru-RU"/>
        </w:rPr>
        <w:t>двадцять</w:t>
      </w:r>
      <w:proofErr w:type="spellEnd"/>
      <w:r w:rsidRPr="00343616">
        <w:rPr>
          <w:bCs/>
          <w:sz w:val="28"/>
          <w:lang w:val="ru-RU"/>
        </w:rPr>
        <w:t xml:space="preserve"> </w:t>
      </w:r>
      <w:proofErr w:type="spellStart"/>
      <w:r w:rsidRPr="00343616">
        <w:rPr>
          <w:bCs/>
          <w:sz w:val="28"/>
          <w:lang w:val="ru-RU"/>
        </w:rPr>
        <w:t>четвертим</w:t>
      </w:r>
      <w:proofErr w:type="spellEnd"/>
      <w:r w:rsidRPr="00343616">
        <w:rPr>
          <w:bCs/>
          <w:sz w:val="28"/>
          <w:lang w:val="ru-RU"/>
        </w:rPr>
        <w:t xml:space="preserve"> </w:t>
      </w:r>
      <w:r w:rsidRPr="00343616">
        <w:rPr>
          <w:bCs/>
          <w:sz w:val="28"/>
          <w:lang w:val="ru-RU"/>
        </w:rPr>
        <w:t>–</w:t>
      </w:r>
      <w:r w:rsidRPr="00343616">
        <w:rPr>
          <w:bCs/>
          <w:sz w:val="28"/>
          <w:lang w:val="ru-RU"/>
        </w:rPr>
        <w:t xml:space="preserve"> </w:t>
      </w:r>
      <w:proofErr w:type="spellStart"/>
      <w:r w:rsidRPr="00343616">
        <w:rPr>
          <w:bCs/>
          <w:sz w:val="28"/>
          <w:lang w:val="ru-RU"/>
        </w:rPr>
        <w:t>тридцять</w:t>
      </w:r>
      <w:proofErr w:type="spellEnd"/>
      <w:r w:rsidRPr="00343616">
        <w:rPr>
          <w:bCs/>
          <w:sz w:val="28"/>
          <w:lang w:val="ru-RU"/>
        </w:rPr>
        <w:t xml:space="preserve"> </w:t>
      </w:r>
      <w:r w:rsidRPr="00343616">
        <w:rPr>
          <w:bCs/>
          <w:sz w:val="28"/>
          <w:lang w:val="ru-RU"/>
        </w:rPr>
        <w:t>першим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«звернення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Національного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письмовим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вмотивованим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клопотанням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розгляду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питання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тимчасове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зупинення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скасування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атестата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акредитацію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lastRenderedPageBreak/>
        <w:t>притягнення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посадових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осіб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відповідальності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законодавства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розміщення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офіційному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веб-сайті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переліків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позбавлення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включення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вибірковий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уповноваження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позбавлення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уповноваження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державних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фітосанітарних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лабораторій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проведення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повторної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(арбітражної)</w:t>
      </w:r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sz w:val="28"/>
        </w:rPr>
      </w:pPr>
      <w:r w:rsidRPr="00343616">
        <w:rPr>
          <w:sz w:val="28"/>
        </w:rPr>
        <w:t>обов’язкове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повідомлення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нотифікацію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осіб,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які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експортували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вантаж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об’єктами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регулювання,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фітосанітарну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лабораторію,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що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видала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висновок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(аналізів),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підставі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якого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було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видано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фітосанітарний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сертифікат</w:t>
      </w:r>
      <w:r w:rsidRPr="00343616">
        <w:rPr>
          <w:sz w:val="28"/>
        </w:rPr>
        <w:t xml:space="preserve"> </w:t>
      </w:r>
      <w:r w:rsidRPr="00343616">
        <w:rPr>
          <w:sz w:val="28"/>
        </w:rPr>
        <w:t>(</w:t>
      </w:r>
      <w:proofErr w:type="spellStart"/>
      <w:r w:rsidRPr="00343616">
        <w:rPr>
          <w:sz w:val="28"/>
        </w:rPr>
        <w:t>фітосанітарний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сертифікат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реекспорт),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щодо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якого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було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отримано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нотифікацію;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sz w:val="28"/>
        </w:rPr>
      </w:pP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повноважень,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4)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10: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другій: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шостому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одинадцятим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дванадцятим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«здійснювати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фахівцями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вибірковий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здійснювати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повноваження,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третю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сьомим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«здійснювати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повноваження,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5)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12: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назві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«щодо»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п’ятій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«Правила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контролю»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Фітосанітарні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заходи»;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6)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розділом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ІІ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</w:rPr>
        <w:t>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«Розділ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ІІ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  <w:vertAlign w:val="superscript"/>
        </w:rPr>
        <w:t xml:space="preserve"> </w:t>
      </w:r>
      <w:r w:rsidRPr="00343616">
        <w:rPr>
          <w:bCs/>
          <w:sz w:val="28"/>
        </w:rPr>
        <w:t>¹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ФІТОСАНІТАРНА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Виїмки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числі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арбітражних)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фітосанітарними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фахівцями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lastRenderedPageBreak/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фітосанітарною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цілей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експорту.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якщо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проводиться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фітосанітарною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зобов’язаний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пізніше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ніж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години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початку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повідомити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електронного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зв’язку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територіальний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засіб,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заплановані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початку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фахівцями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повідомлення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вважається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отриманим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моменту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направлення.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фахівець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здійснюють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спільний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спільному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фахівцем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фітосанітарною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фахівець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фітосанітарною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Відібрані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запаковуються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сейф-пакети,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складається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підписується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(якщо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здійснюватися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фітосанітарній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фахівцем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Фахівець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направляє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направляє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акта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сейф-пакетів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встановлюються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Відсутність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державного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фахівцями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проведенні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сертифіката.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Систематичне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(п’ять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більше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року)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звернення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Національного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письмовим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вмотивованим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lastRenderedPageBreak/>
        <w:t>клопотанням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розгляду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питання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тимчасове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зупинення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скасування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атестата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акредитацію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міжнародних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інструкцій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рекомендацій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виявлення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та/або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ідентифікації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фітосанітарною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особи.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випадках,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прямо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міжнародними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договорами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та/або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зовнішньоекономічними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договорами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(контрактами),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фітосанітарними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лабораторіями.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включає: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виявлення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визначення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їхнього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розвитку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кількості;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формування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зразка-документа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наявності).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цілей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експорту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виявлення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урахуванням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країни-імпортера.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цілей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експорту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повинна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ISO/IEC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ДСТУ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замінено,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галузі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застосування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діагностики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(експертиз),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вимагаються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країною-імпортером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партії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надає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висновок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встановлює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всієї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партії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надходження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цілісності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сейф-пакета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надає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висновок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зразка.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Строк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становить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днів.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Порядок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затверджується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  <w:highlight w:val="cyan"/>
        </w:rPr>
      </w:pP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встановлює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значення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виявлених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основі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приймає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застосування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  <w:vertAlign w:val="superscript"/>
        </w:rPr>
        <w:t xml:space="preserve"> </w:t>
      </w:r>
      <w:r w:rsidRPr="00343616">
        <w:rPr>
          <w:bCs/>
          <w:sz w:val="28"/>
          <w:vertAlign w:val="superscript"/>
        </w:rPr>
        <w:t>1</w:t>
      </w:r>
      <w:r w:rsidRPr="00343616">
        <w:rPr>
          <w:bCs/>
          <w:sz w:val="28"/>
        </w:rPr>
        <w:t>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sz w:val="28"/>
        </w:rPr>
        <w:t>уповноважується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sz w:val="28"/>
        </w:rPr>
        <w:t>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частині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відбору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зразків</w:t>
      </w:r>
      <w:r w:rsidRPr="00343616">
        <w:rPr>
          <w:bCs/>
          <w:color w:val="FF0000"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вона: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акредитована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ISO/IEC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ДСТУ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замінено,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робіт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продукції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походження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галузі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застосування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діагностики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одним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кількома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(експертиз):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ентомологія,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мікологія,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бактеріологія,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фітогельмінтологія,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вірусологія,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гербологія</w:t>
      </w:r>
      <w:proofErr w:type="spellEnd"/>
      <w:r w:rsidRPr="00343616">
        <w:rPr>
          <w:bCs/>
          <w:sz w:val="28"/>
        </w:rPr>
        <w:t>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порушувала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останніх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шести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місяців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нормативно-правових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ISO/IEC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ДСТУ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замінено,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вона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акредитована.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отримання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подає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довільній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формі.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додаються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документи: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копія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атестата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акредитацію;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інформація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матеріально-технічну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базу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копії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документів,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засвідчують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право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користування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обладнанням;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/>
          <w:bCs/>
          <w:sz w:val="28"/>
        </w:rPr>
      </w:pPr>
      <w:r w:rsidRPr="00343616">
        <w:rPr>
          <w:bCs/>
          <w:sz w:val="28"/>
        </w:rPr>
        <w:t>інформація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нормативно-правових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ISO/IEC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ДСТУ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ISO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17025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замінено,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вона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акредитована,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останніх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шести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місяців;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заява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довільній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конфлікту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інтересів,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впливає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об’єктивність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неупередженість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приймається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десяти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робочих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Виключними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невідповідність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вимогам,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встановленим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статтею.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позбавляється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ліквідації;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тимчасового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зупинення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скасування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атестата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акредитацію;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повторного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12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місяців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законодавства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мало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наслідком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отримання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двох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більше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нотифікацій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невідповідність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заходам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Міжнародного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стандарту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порушень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належать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виявлення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регульованих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надано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висновок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виявлення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недостовірних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відомостей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документах,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поданих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приватизації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зобов’язана: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дотримуватися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вимог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нормативно-правових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стандартів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ISO/IEC</w:t>
      </w:r>
      <w:r w:rsidRPr="00343616">
        <w:rPr>
          <w:sz w:val="28"/>
        </w:rPr>
        <w:t xml:space="preserve"> </w:t>
      </w:r>
      <w:r w:rsidRPr="00343616">
        <w:rPr>
          <w:sz w:val="28"/>
        </w:rPr>
        <w:t>17025,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ДСТУ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ISO</w:t>
      </w:r>
      <w:r w:rsidRPr="00343616">
        <w:rPr>
          <w:sz w:val="28"/>
        </w:rPr>
        <w:t xml:space="preserve"> </w:t>
      </w:r>
      <w:r w:rsidRPr="00343616">
        <w:rPr>
          <w:sz w:val="28"/>
        </w:rPr>
        <w:t>17025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або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інших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стандартів,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якими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їх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замінено,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відповідність</w:t>
      </w:r>
      <w:r w:rsidRPr="00343616">
        <w:rPr>
          <w:sz w:val="28"/>
        </w:rPr>
        <w:t xml:space="preserve"> </w:t>
      </w:r>
      <w:r w:rsidRPr="00343616">
        <w:rPr>
          <w:sz w:val="28"/>
        </w:rPr>
        <w:t>яких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вона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акредитована;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надавати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інспекторам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запит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інформацію,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необхідну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з’ясування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обставин,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призвели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отримання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нотифікації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невідповідність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заходам.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  <w:vertAlign w:val="superscript"/>
        </w:rPr>
        <w:t xml:space="preserve"> </w:t>
      </w:r>
      <w:r w:rsidRPr="00343616">
        <w:rPr>
          <w:bCs/>
          <w:sz w:val="28"/>
          <w:vertAlign w:val="superscript"/>
        </w:rPr>
        <w:t>2</w:t>
      </w:r>
      <w:r w:rsidRPr="00343616">
        <w:rPr>
          <w:bCs/>
          <w:sz w:val="28"/>
        </w:rPr>
        <w:t>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(арбітражна)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Повторна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(арбітражна)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державною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фітосанітарною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лабораторією,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(далі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–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Державна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вона: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відповідає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вимогам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має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досвід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робіт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продукції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походження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менше,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ніж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роки.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Арбітражна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позбавляється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позбавлення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приватизації.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Повторна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(арбітражна)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оскаржує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можуть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оскаржуватися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лише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особою,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особою,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строку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Об’єктами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зразок-документ.</w:t>
      </w:r>
      <w:r w:rsidRPr="00343616">
        <w:rPr>
          <w:bCs/>
          <w:sz w:val="28"/>
        </w:rPr>
        <w:t xml:space="preserve"> </w:t>
      </w:r>
      <w:r w:rsidRPr="00343616">
        <w:rPr>
          <w:sz w:val="28"/>
        </w:rPr>
        <w:t>Зразок-документ,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сформований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під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час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проведення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(аналізів),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є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об’єктом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lastRenderedPageBreak/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(арбітражної)</w:t>
      </w:r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разі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відсутності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арбітражного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зразка.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Арбітражний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кількістю,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якістю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рівноцінним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зразку.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зберігання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представнику.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Арбітражний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зберігається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строку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Зразки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запаковуються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сейф-пакети,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складається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формою,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встановленою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підписується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фахівцем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відбір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Зразок-документ,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відібраний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запаковується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сейф-пакет,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складається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описом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вкладення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довільній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підписується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представником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проводила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Якщо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відрізняються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результатів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застосовуються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Порядок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затверджується</w:t>
      </w:r>
      <w:r w:rsidRPr="00343616">
        <w:rPr>
          <w:bCs/>
          <w:sz w:val="28"/>
        </w:rPr>
        <w:t xml:space="preserve"> </w:t>
      </w:r>
      <w:r w:rsidRPr="00343616">
        <w:rPr>
          <w:sz w:val="28"/>
        </w:rPr>
        <w:t>Кабінетом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Міністрів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України</w:t>
      </w:r>
      <w:r w:rsidRPr="00343616">
        <w:rPr>
          <w:bCs/>
          <w:sz w:val="28"/>
        </w:rPr>
        <w:t>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  <w:vertAlign w:val="superscript"/>
        </w:rPr>
        <w:t xml:space="preserve"> </w:t>
      </w:r>
      <w:r w:rsidRPr="00343616">
        <w:rPr>
          <w:bCs/>
          <w:sz w:val="28"/>
          <w:vertAlign w:val="superscript"/>
        </w:rPr>
        <w:t>3</w:t>
      </w:r>
      <w:r w:rsidRPr="00343616">
        <w:rPr>
          <w:bCs/>
          <w:sz w:val="28"/>
        </w:rPr>
        <w:t>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Центральний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забезпечує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електронній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держателем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Підставою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Підставою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позбавлення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уповноваження.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включаються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відомості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назву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адресу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зазначенням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строку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її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атестата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акредитацію;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номер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Відомості,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містяться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відкритими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загальнодоступними.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оновлення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фітосанітарні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(крім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вносять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плату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кожен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включений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висновок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розмірі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0,2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прожиткових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мінімумів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працездатних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осіб,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зараховується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спеціального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фонду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бюджету.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Порядок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встановлюється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Стаття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  <w:vertAlign w:val="superscript"/>
        </w:rPr>
        <w:t xml:space="preserve"> </w:t>
      </w:r>
      <w:r w:rsidRPr="00343616">
        <w:rPr>
          <w:bCs/>
          <w:sz w:val="28"/>
          <w:vertAlign w:val="superscript"/>
        </w:rPr>
        <w:t>4</w:t>
      </w:r>
      <w:r w:rsidRPr="00343616">
        <w:rPr>
          <w:bCs/>
          <w:sz w:val="28"/>
        </w:rPr>
        <w:t>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Центральний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забезпечує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електронній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держателем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відкритою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загальнодоступною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інформація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назву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обсяг;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номер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номер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Порядок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встановлюється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7)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дев’яту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16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огляду,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(арбітражної)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нагляду,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обстеження,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моніторингу,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знезараження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оформлення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Законом,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вибірковий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порядку,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встановленому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8)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виключити;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9)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29: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назву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«територією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третю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зобов’язаний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заявнику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прийняти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оформлення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зобов’язаний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заявнику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прийняти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8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робочих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годин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після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отримання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Висновок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надається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годин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моменту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завершення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завантаження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засобу.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Початок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завершення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завантаження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фіксуються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шляхом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направлення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письмового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повідомлення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здійснюватиме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Повідомлення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містити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інформацію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засіб,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заплановані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початку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завершення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завантаження.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складного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аналізу</w:t>
      </w:r>
      <w:r w:rsidRPr="00343616">
        <w:rPr>
          <w:bCs/>
          <w:sz w:val="28"/>
        </w:rPr>
        <w:t xml:space="preserve"> </w:t>
      </w:r>
      <w:r w:rsidRPr="00343616">
        <w:rPr>
          <w:sz w:val="28"/>
        </w:rPr>
        <w:t>(мікологічного,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бактеріологічного,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вірусологічного,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гельмінтологічного)</w:t>
      </w:r>
      <w:r w:rsidRPr="00343616">
        <w:rPr>
          <w:bCs/>
          <w:sz w:val="28"/>
        </w:rPr>
        <w:t>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залежно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lastRenderedPageBreak/>
        <w:t>виявленого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строк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може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продовжено,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але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більше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ніж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30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подання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10)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30: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першій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порядку,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визначеного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забезпечує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виключити;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четверту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після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«інспектування»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«огляду,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числі»;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11)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36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п’ятою-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сьомою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«Дозволяється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імпорт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без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поштових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відправленнях,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ручній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поклажі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багажу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пасажирів,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членів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екіпажів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морських,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річкових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повітряних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суден,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свіжих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сушених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фруктів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овочів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(крім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картоплі)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кількості,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перевищує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двох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кілограмів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кожного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Дозволені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ввезення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без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переміщення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межі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продовольчих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цілей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членів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екіпажів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морських,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річкових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повітряних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суден,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автомобільних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залізничних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засобів.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proofErr w:type="spellStart"/>
      <w:r w:rsidRPr="00343616">
        <w:rPr>
          <w:bCs/>
          <w:sz w:val="28"/>
        </w:rPr>
        <w:t>Фітосанітарні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ввезенні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включаючи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методи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відбору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зразків,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порядку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ввезення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Україну»;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12)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40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четвертою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«Центральний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регулярні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будь-якого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походження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основі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ризик-орієнтованого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підходу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порядку,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встановленому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забезпечує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формування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Перелік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будь-якого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походження,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підлягають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основі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ризик-орієнтованого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підходу,</w:t>
      </w:r>
      <w:r w:rsidRPr="00343616">
        <w:rPr>
          <w:bCs/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критерії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вибірковості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контролю</w:t>
      </w:r>
      <w:r w:rsidRPr="00343616">
        <w:rPr>
          <w:sz w:val="28"/>
        </w:rPr>
        <w:t xml:space="preserve"> </w:t>
      </w:r>
      <w:r w:rsidRPr="00343616">
        <w:rPr>
          <w:bCs/>
          <w:sz w:val="28"/>
        </w:rPr>
        <w:t>встановлюються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Кабінетом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Міністрів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13)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41: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третю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«державними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фітосанітарними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лабораторіями»;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сьому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якщо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фітосанітарна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підтвердить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зараження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організмом,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може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оскаржити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результати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(арбітражну)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14)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43: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четвертій: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першому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«експортні»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</w:t>
      </w:r>
      <w:proofErr w:type="spellStart"/>
      <w:r w:rsidRPr="00343616">
        <w:rPr>
          <w:bCs/>
          <w:sz w:val="28"/>
        </w:rPr>
        <w:t>реекспортні</w:t>
      </w:r>
      <w:proofErr w:type="spellEnd"/>
      <w:r w:rsidRPr="00343616">
        <w:rPr>
          <w:bCs/>
          <w:sz w:val="28"/>
        </w:rPr>
        <w:t>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третьому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«експорту»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«реекспорту»;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п’ятою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«Заборона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обмеження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імпорту,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реекспорту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транзиту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запроваджується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період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усунення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причин,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були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запровадження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заходів»;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15)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46: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третю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зобов’язаний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заявнику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реекспорт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та/або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інший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документ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запитом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призначення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прийняти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оформлення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сертифіката,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реекспорт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Державний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інспектор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зобов’язаний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заявнику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реекспорт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прийняти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рішення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відмову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8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робочих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годин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після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отримання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Висновок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надається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результатами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наявності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протягом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24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годин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моменту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завершення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завантаження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засобу.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Початок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завершення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завантаження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засобу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фіксуються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шляхом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направлення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письмового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повідомлення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вибором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особи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здійснюватиме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Повідомлення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містити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інформацію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транспортний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засіб,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заплановані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дату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початку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завершення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завантаження.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разі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країни-імпортера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власника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вантажу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представника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складного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(мікологічного,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бактеріологічного,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вірусологічного,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гельмінтологічного)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строк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висновку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фітосанітарної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(аналізів)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може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бути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продовжено,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але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більше,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ніж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30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подання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зразка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аналіз.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або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фітосанітарний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реекспорт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може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видаватися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заражені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регульованими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шкідливими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організмами,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умови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відсутності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заборон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імпорту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ввезення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об’єктів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п’ятій: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абзац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другий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викласти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«невідповідність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вимогам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заходів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країни-імпортера»;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абзац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третій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виключити;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чотирнадцятою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п’ятнадцятою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«Строк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дії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фітосанітарного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території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становить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14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видачі.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lastRenderedPageBreak/>
        <w:t>Проведення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процедур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може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здійснюватися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міжнародних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договорів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порядку,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погодженому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національними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організаціями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захисту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країн-імпортерів»;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16)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другу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47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доповнити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дев’ятим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такого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змісту: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«повторному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протягом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12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місяців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порушенні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законодавства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карантин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рослин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частині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проведення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фітосанітарної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експертизи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(аналізів),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що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мало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наслідком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отримання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країни-імпортера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двох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більше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нотифікацій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невідповідність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фітосанітарним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заходам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Міжнародного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стандарту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</w:t>
      </w:r>
      <w:r w:rsidRPr="00343616">
        <w:rPr>
          <w:sz w:val="28"/>
        </w:rPr>
        <w:t xml:space="preserve"> </w:t>
      </w:r>
      <w:proofErr w:type="spellStart"/>
      <w:r w:rsidRPr="00343616">
        <w:rPr>
          <w:sz w:val="28"/>
        </w:rPr>
        <w:t>фітосанітарних</w:t>
      </w:r>
      <w:proofErr w:type="spellEnd"/>
      <w:r w:rsidRPr="00343616">
        <w:rPr>
          <w:sz w:val="28"/>
        </w:rPr>
        <w:t xml:space="preserve"> </w:t>
      </w:r>
      <w:r w:rsidRPr="00343616">
        <w:rPr>
          <w:sz w:val="28"/>
        </w:rPr>
        <w:t>заходів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№</w:t>
      </w:r>
      <w:r w:rsidRPr="00343616">
        <w:rPr>
          <w:sz w:val="28"/>
        </w:rPr>
        <w:t xml:space="preserve"> </w:t>
      </w:r>
      <w:r w:rsidRPr="00343616">
        <w:rPr>
          <w:sz w:val="28"/>
        </w:rPr>
        <w:t>13»;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17)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другій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49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«проведення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обстеження,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аналіз,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знезараження,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обробку,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організацію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роботами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фумігації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(знезараження)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замінити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словами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«обстеження,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інспектування,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огляд,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повторну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фітосанітарну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(арбітражну)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експертизу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(аналізи),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знезараження,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видачу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сертифікатів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організацію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здійснення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контролю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роботами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фумігації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об'єктів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регулювання,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оновлення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інформації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лабораторій».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ІІ.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Прикінцеві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перехідні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положення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1.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набирає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чинності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наступного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днем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його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опублікування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вводиться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через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шість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місяців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набрання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чинності,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крім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другого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другої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</w:rPr>
        <w:t>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рослин»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(у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редакції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Закону),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яка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вводиться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через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2.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Установити,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державні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фітосанітарні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входять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управління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центрального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органу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виконавчої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влади,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реалізує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політику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сфері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підлягають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автоматичному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включенню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є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уповноваженими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відповідно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Виключення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Реєстру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уповноважених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підстав,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передбачених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абзацом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четвертим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частини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п’ятої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статті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13</w:t>
      </w:r>
      <w:r w:rsidRPr="00343616">
        <w:rPr>
          <w:bCs/>
          <w:sz w:val="28"/>
          <w:vertAlign w:val="superscript"/>
        </w:rPr>
        <w:t>-</w:t>
      </w:r>
      <w:r w:rsidRPr="00343616">
        <w:rPr>
          <w:bCs/>
          <w:sz w:val="28"/>
        </w:rPr>
        <w:t>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України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«Про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карантин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рослин»,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дозволяється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раніше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ніж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через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bCs/>
          <w:sz w:val="28"/>
        </w:rPr>
        <w:t>3.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Установити,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що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положення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пункту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1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розділу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І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вводяться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для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державних</w:t>
      </w:r>
      <w:r w:rsidRPr="00343616">
        <w:rPr>
          <w:bCs/>
          <w:sz w:val="28"/>
        </w:rPr>
        <w:t xml:space="preserve"> </w:t>
      </w:r>
      <w:proofErr w:type="spellStart"/>
      <w:r w:rsidRPr="00343616">
        <w:rPr>
          <w:bCs/>
          <w:sz w:val="28"/>
        </w:rPr>
        <w:t>фітосанітарних</w:t>
      </w:r>
      <w:proofErr w:type="spellEnd"/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лабораторій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через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три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роки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введення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в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дію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цього</w:t>
      </w:r>
      <w:r w:rsidRPr="00343616">
        <w:rPr>
          <w:bCs/>
          <w:sz w:val="28"/>
        </w:rPr>
        <w:t xml:space="preserve"> </w:t>
      </w:r>
      <w:r w:rsidRPr="00343616">
        <w:rPr>
          <w:bCs/>
          <w:sz w:val="28"/>
        </w:rPr>
        <w:t>Закону.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sz w:val="28"/>
        </w:rPr>
      </w:pPr>
      <w:r w:rsidRPr="00343616">
        <w:rPr>
          <w:sz w:val="28"/>
        </w:rPr>
        <w:t>4.</w:t>
      </w:r>
      <w:r w:rsidRPr="00343616">
        <w:rPr>
          <w:sz w:val="28"/>
        </w:rPr>
        <w:t xml:space="preserve"> </w:t>
      </w:r>
      <w:r w:rsidRPr="00343616">
        <w:rPr>
          <w:sz w:val="28"/>
        </w:rPr>
        <w:t>Кабінету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Міністрів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України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метою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створення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належних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умов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для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реалізації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цього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вжити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заходів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приведення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відповідність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нормативно-правових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забезпечивши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набрання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ними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чинності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одночасно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введенням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дію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цього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Закону,</w:t>
      </w:r>
      <w:r w:rsidRPr="00343616">
        <w:rPr>
          <w:sz w:val="28"/>
        </w:rPr>
        <w:t xml:space="preserve"> </w:t>
      </w:r>
      <w:r w:rsidRPr="00343616">
        <w:rPr>
          <w:sz w:val="28"/>
        </w:rPr>
        <w:t>шляхом: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sz w:val="28"/>
        </w:rPr>
      </w:pP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lastRenderedPageBreak/>
        <w:t>1)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приведення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своїх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нормативно-правових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відповідність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прийняття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нормативно-правових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передбачених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Законом;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2)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забезпечення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приведення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міністерствами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іншими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центральними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органами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виконавчої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влади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нормативно-правових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відповідність</w:t>
      </w:r>
      <w:r w:rsidRPr="00343616">
        <w:rPr>
          <w:sz w:val="28"/>
        </w:rPr>
        <w:t xml:space="preserve"> </w:t>
      </w:r>
      <w:r w:rsidRPr="00343616">
        <w:rPr>
          <w:sz w:val="28"/>
        </w:rPr>
        <w:t>із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та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прийняття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ними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нормативно-правових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актів,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передбачених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Законом;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Cs/>
          <w:sz w:val="28"/>
        </w:rPr>
      </w:pPr>
      <w:r w:rsidRPr="00343616">
        <w:rPr>
          <w:sz w:val="28"/>
        </w:rPr>
        <w:t>3)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забезпечення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на</w:t>
      </w:r>
      <w:r w:rsidRPr="00343616">
        <w:rPr>
          <w:sz w:val="28"/>
        </w:rPr>
        <w:t xml:space="preserve"> </w:t>
      </w:r>
      <w:r w:rsidRPr="00343616">
        <w:rPr>
          <w:sz w:val="28"/>
        </w:rPr>
        <w:t>момент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введення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в</w:t>
      </w:r>
      <w:r w:rsidRPr="00343616">
        <w:rPr>
          <w:sz w:val="28"/>
        </w:rPr>
        <w:t xml:space="preserve"> </w:t>
      </w:r>
      <w:r w:rsidRPr="00343616">
        <w:rPr>
          <w:sz w:val="28"/>
        </w:rPr>
        <w:t>дію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цього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Закону</w:t>
      </w:r>
      <w:r w:rsidRPr="00343616">
        <w:rPr>
          <w:sz w:val="28"/>
        </w:rPr>
        <w:t xml:space="preserve"> </w:t>
      </w:r>
      <w:r w:rsidRPr="00343616">
        <w:rPr>
          <w:sz w:val="28"/>
        </w:rPr>
        <w:t>функціонування</w:t>
      </w:r>
      <w:r w:rsidRPr="00343616">
        <w:rPr>
          <w:sz w:val="28"/>
        </w:rPr>
        <w:t xml:space="preserve"> </w:t>
      </w:r>
      <w:r w:rsidRPr="00343616">
        <w:rPr>
          <w:sz w:val="28"/>
        </w:rPr>
        <w:t>реєстрів,</w:t>
      </w:r>
      <w:r w:rsidRPr="00343616">
        <w:rPr>
          <w:sz w:val="28"/>
        </w:rPr>
        <w:t xml:space="preserve"> </w:t>
      </w:r>
      <w:r w:rsidRPr="00343616">
        <w:rPr>
          <w:sz w:val="28"/>
        </w:rPr>
        <w:t>передбачених</w:t>
      </w:r>
      <w:r w:rsidRPr="00343616">
        <w:rPr>
          <w:sz w:val="28"/>
        </w:rPr>
        <w:t xml:space="preserve"> </w:t>
      </w:r>
      <w:r w:rsidRPr="00343616">
        <w:rPr>
          <w:sz w:val="28"/>
        </w:rPr>
        <w:t>цим</w:t>
      </w:r>
      <w:r w:rsidRPr="00343616">
        <w:rPr>
          <w:sz w:val="28"/>
        </w:rPr>
        <w:t xml:space="preserve"> </w:t>
      </w:r>
      <w:r w:rsidRPr="00343616">
        <w:rPr>
          <w:sz w:val="28"/>
        </w:rPr>
        <w:t>Законом.</w:t>
      </w:r>
    </w:p>
    <w:p w:rsidR="00E275CC" w:rsidRDefault="00E275CC" w:rsidP="00343616">
      <w:pPr>
        <w:pStyle w:val="StyleZakonu"/>
        <w:spacing w:after="0" w:line="240" w:lineRule="auto"/>
        <w:ind w:firstLine="720"/>
        <w:rPr>
          <w:b/>
          <w:bCs/>
          <w:sz w:val="28"/>
        </w:rPr>
      </w:pPr>
    </w:p>
    <w:p w:rsidR="00E275CC" w:rsidRDefault="00E275CC" w:rsidP="00343616">
      <w:pPr>
        <w:pStyle w:val="StyleZakonu"/>
        <w:spacing w:after="0" w:line="240" w:lineRule="auto"/>
        <w:ind w:firstLine="720"/>
        <w:rPr>
          <w:b/>
          <w:bCs/>
          <w:sz w:val="28"/>
        </w:rPr>
      </w:pP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/>
          <w:bCs/>
          <w:sz w:val="28"/>
        </w:rPr>
      </w:pPr>
      <w:bookmarkStart w:id="0" w:name="_GoBack"/>
      <w:bookmarkEnd w:id="0"/>
      <w:r w:rsidRPr="00343616">
        <w:rPr>
          <w:b/>
          <w:bCs/>
          <w:sz w:val="28"/>
        </w:rPr>
        <w:t>Голова</w:t>
      </w:r>
    </w:p>
    <w:p w:rsidR="00343616" w:rsidRPr="00343616" w:rsidRDefault="00343616" w:rsidP="00343616">
      <w:pPr>
        <w:pStyle w:val="StyleZakonu"/>
        <w:spacing w:after="0" w:line="240" w:lineRule="auto"/>
        <w:ind w:firstLine="720"/>
        <w:rPr>
          <w:b/>
          <w:bCs/>
          <w:sz w:val="28"/>
        </w:rPr>
      </w:pPr>
      <w:r w:rsidRPr="00343616">
        <w:rPr>
          <w:b/>
          <w:bCs/>
          <w:sz w:val="28"/>
        </w:rPr>
        <w:t>Верховної</w:t>
      </w:r>
      <w:r w:rsidRPr="00343616">
        <w:rPr>
          <w:b/>
          <w:bCs/>
          <w:sz w:val="28"/>
        </w:rPr>
        <w:t xml:space="preserve"> </w:t>
      </w:r>
      <w:r w:rsidRPr="00343616">
        <w:rPr>
          <w:b/>
          <w:bCs/>
          <w:sz w:val="28"/>
        </w:rPr>
        <w:t>Ради</w:t>
      </w:r>
      <w:r w:rsidRPr="00343616">
        <w:rPr>
          <w:b/>
          <w:bCs/>
          <w:sz w:val="28"/>
        </w:rPr>
        <w:t xml:space="preserve"> </w:t>
      </w:r>
      <w:r w:rsidRPr="00343616">
        <w:rPr>
          <w:b/>
          <w:bCs/>
          <w:sz w:val="28"/>
        </w:rPr>
        <w:t>України</w:t>
      </w:r>
    </w:p>
    <w:p w:rsidR="005204CF" w:rsidRPr="00343616" w:rsidRDefault="005204CF" w:rsidP="00343616">
      <w:pPr>
        <w:spacing w:after="0" w:line="240" w:lineRule="auto"/>
        <w:ind w:firstLine="720"/>
        <w:jc w:val="both"/>
      </w:pPr>
    </w:p>
    <w:sectPr w:rsidR="005204CF" w:rsidRPr="00343616" w:rsidSect="00343616">
      <w:pgSz w:w="11906" w:h="16838" w:code="9"/>
      <w:pgMar w:top="1440" w:right="864" w:bottom="1440" w:left="169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21" w:rsidRDefault="00972F21" w:rsidP="00343616">
      <w:pPr>
        <w:spacing w:after="0" w:line="240" w:lineRule="auto"/>
      </w:pPr>
      <w:r>
        <w:separator/>
      </w:r>
    </w:p>
  </w:endnote>
  <w:endnote w:type="continuationSeparator" w:id="0">
    <w:p w:rsidR="00972F21" w:rsidRDefault="00972F21" w:rsidP="0034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21" w:rsidRDefault="00972F21" w:rsidP="00343616">
      <w:pPr>
        <w:spacing w:after="0" w:line="240" w:lineRule="auto"/>
      </w:pPr>
      <w:r>
        <w:separator/>
      </w:r>
    </w:p>
  </w:footnote>
  <w:footnote w:type="continuationSeparator" w:id="0">
    <w:p w:rsidR="00972F21" w:rsidRDefault="00972F21" w:rsidP="00343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6"/>
    <w:rsid w:val="000260AC"/>
    <w:rsid w:val="0031270B"/>
    <w:rsid w:val="00323C09"/>
    <w:rsid w:val="00343616"/>
    <w:rsid w:val="005204CF"/>
    <w:rsid w:val="00711C7D"/>
    <w:rsid w:val="00972F21"/>
    <w:rsid w:val="00E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D981"/>
  <w15:chartTrackingRefBased/>
  <w15:docId w15:val="{288ED353-BFB8-4751-BCDC-48CADA2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343616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4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3616"/>
    <w:rPr>
      <w:lang w:val="ru-RU"/>
    </w:rPr>
  </w:style>
  <w:style w:type="paragraph" w:styleId="a5">
    <w:name w:val="footer"/>
    <w:basedOn w:val="a"/>
    <w:link w:val="a6"/>
    <w:uiPriority w:val="99"/>
    <w:unhideWhenUsed/>
    <w:rsid w:val="0034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3616"/>
    <w:rPr>
      <w:lang w:val="ru-RU"/>
    </w:rPr>
  </w:style>
  <w:style w:type="paragraph" w:customStyle="1" w:styleId="a7">
    <w:name w:val="Номер страницы"/>
    <w:basedOn w:val="a5"/>
    <w:rsid w:val="0034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3864</Words>
  <Characters>28828</Characters>
  <Application>Microsoft Office Word</Application>
  <DocSecurity>0</DocSecurity>
  <Lines>565</Lines>
  <Paragraphs>222</Paragraphs>
  <ScaleCrop>false</ScaleCrop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Чубенко</dc:creator>
  <cp:keywords/>
  <dc:description/>
  <cp:lastModifiedBy>Ірина М. Чубенко</cp:lastModifiedBy>
  <cp:revision>2</cp:revision>
  <dcterms:created xsi:type="dcterms:W3CDTF">2018-07-05T14:03:00Z</dcterms:created>
  <dcterms:modified xsi:type="dcterms:W3CDTF">2018-07-05T14:04:00Z</dcterms:modified>
</cp:coreProperties>
</file>