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53" w:rsidRPr="00B935B9" w:rsidRDefault="00A03C53" w:rsidP="00A03C53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 w:rsidRPr="00B935B9">
        <w:rPr>
          <w:rFonts w:ascii="Times New Roman" w:eastAsia="Calibri" w:hAnsi="Times New Roman" w:cs="Calibri"/>
          <w:sz w:val="28"/>
          <w:szCs w:val="28"/>
        </w:rPr>
        <w:t xml:space="preserve">До реєстр. № </w:t>
      </w:r>
      <w:r w:rsidR="00001D36" w:rsidRPr="00B935B9">
        <w:rPr>
          <w:rFonts w:ascii="Times New Roman" w:eastAsia="Calibri" w:hAnsi="Times New Roman" w:cs="Calibri"/>
          <w:sz w:val="28"/>
          <w:szCs w:val="28"/>
        </w:rPr>
        <w:t>7010</w:t>
      </w:r>
    </w:p>
    <w:p w:rsidR="00A03C53" w:rsidRPr="00B935B9" w:rsidRDefault="00A03C53" w:rsidP="00A03C53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 w:rsidRPr="00B935B9">
        <w:rPr>
          <w:rFonts w:ascii="Times New Roman" w:eastAsia="Calibri" w:hAnsi="Times New Roman" w:cs="Calibri"/>
          <w:sz w:val="28"/>
          <w:szCs w:val="28"/>
        </w:rPr>
        <w:t xml:space="preserve"> від </w:t>
      </w:r>
      <w:r w:rsidR="00E622ED">
        <w:rPr>
          <w:rFonts w:ascii="Times New Roman" w:eastAsia="Calibri" w:hAnsi="Times New Roman" w:cs="Calibri"/>
          <w:sz w:val="28"/>
          <w:szCs w:val="28"/>
        </w:rPr>
        <w:t>28</w:t>
      </w:r>
      <w:r w:rsidRPr="00B935B9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87298F" w:rsidRPr="00B935B9">
        <w:rPr>
          <w:rFonts w:ascii="Times New Roman" w:eastAsia="Calibri" w:hAnsi="Times New Roman" w:cs="Calibri"/>
          <w:sz w:val="28"/>
          <w:szCs w:val="28"/>
        </w:rPr>
        <w:t>липня</w:t>
      </w:r>
      <w:r w:rsidRPr="00B935B9">
        <w:rPr>
          <w:rFonts w:ascii="Times New Roman" w:eastAsia="Calibri" w:hAnsi="Times New Roman" w:cs="Calibri"/>
          <w:sz w:val="28"/>
          <w:szCs w:val="28"/>
        </w:rPr>
        <w:t xml:space="preserve"> 2017 р.</w:t>
      </w:r>
    </w:p>
    <w:p w:rsidR="00A03C53" w:rsidRPr="00B935B9" w:rsidRDefault="00A03C53" w:rsidP="00A03C53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03C53" w:rsidRPr="00B935B9" w:rsidRDefault="00A03C53" w:rsidP="00A03C5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B935B9"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A03C53" w:rsidRPr="00B935B9" w:rsidRDefault="00A03C53" w:rsidP="00A03C53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B935B9">
        <w:rPr>
          <w:rFonts w:ascii="Times New Roman" w:eastAsia="Calibri" w:hAnsi="Times New Roman" w:cs="Calibri"/>
          <w:sz w:val="28"/>
          <w:szCs w:val="28"/>
        </w:rPr>
        <w:t>щодо результатів здійснення</w:t>
      </w:r>
    </w:p>
    <w:p w:rsidR="00A03C53" w:rsidRPr="00B935B9" w:rsidRDefault="00A03C53" w:rsidP="00A03C53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B935B9">
        <w:rPr>
          <w:rFonts w:ascii="Times New Roman" w:eastAsia="Calibri" w:hAnsi="Times New Roman" w:cs="Calibri"/>
          <w:sz w:val="28"/>
          <w:szCs w:val="28"/>
        </w:rPr>
        <w:t>антикорупційної експертизи</w:t>
      </w:r>
    </w:p>
    <w:p w:rsidR="00A03C53" w:rsidRPr="00B935B9" w:rsidRDefault="00A03C53" w:rsidP="00A03C53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B935B9">
        <w:rPr>
          <w:rFonts w:ascii="Times New Roman" w:eastAsia="Calibri" w:hAnsi="Times New Roman" w:cs="Calibri"/>
          <w:sz w:val="28"/>
          <w:szCs w:val="28"/>
        </w:rPr>
        <w:t xml:space="preserve">проекту нормативно-правового </w:t>
      </w:r>
      <w:proofErr w:type="spellStart"/>
      <w:r w:rsidRPr="00B935B9">
        <w:rPr>
          <w:rFonts w:ascii="Times New Roman" w:eastAsia="Calibri" w:hAnsi="Times New Roman" w:cs="Calibri"/>
          <w:sz w:val="28"/>
          <w:szCs w:val="28"/>
        </w:rPr>
        <w:t>акта</w:t>
      </w:r>
      <w:proofErr w:type="spellEnd"/>
    </w:p>
    <w:p w:rsidR="00A03C53" w:rsidRPr="00B935B9" w:rsidRDefault="00A03C53" w:rsidP="00A03C53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F65A39" w:rsidRPr="00B935B9" w:rsidRDefault="00A03C53" w:rsidP="00A03C53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 w:rsidRPr="00B935B9"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 w:rsidRPr="00B935B9"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 w:rsidRPr="00B935B9">
        <w:rPr>
          <w:rFonts w:ascii="Calibri" w:eastAsia="Times New Roman" w:hAnsi="Calibri" w:cs="Arial"/>
          <w:sz w:val="24"/>
          <w:szCs w:val="24"/>
          <w:lang w:eastAsia="ru-RU"/>
        </w:rPr>
        <w:t>: Проект Закону  </w:t>
      </w:r>
      <w:r w:rsidR="00A01344" w:rsidRPr="00B935B9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 до Митного кодексу України та деяких інших законодавчих актів України щодо запровадження механізму "єдиного вікна" та оптимізації здійснення контрольних процедур при переміщенні товарів через митний кордон України</w:t>
      </w:r>
    </w:p>
    <w:p w:rsidR="00A03C53" w:rsidRPr="00B935B9" w:rsidRDefault="00A03C53" w:rsidP="00A03C53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 w:rsidRPr="00B935B9">
        <w:rPr>
          <w:rFonts w:ascii="Calibri" w:eastAsia="Times New Roman" w:hAnsi="Calibri" w:cs="Arial"/>
          <w:sz w:val="24"/>
          <w:szCs w:val="24"/>
          <w:lang w:eastAsia="ru-RU"/>
        </w:rPr>
        <w:t xml:space="preserve">Реєстр. № </w:t>
      </w:r>
      <w:r w:rsidR="00E622ED">
        <w:rPr>
          <w:rFonts w:ascii="Calibri" w:eastAsia="Times New Roman" w:hAnsi="Calibri" w:cs="Arial"/>
          <w:sz w:val="24"/>
          <w:szCs w:val="24"/>
          <w:lang w:eastAsia="ru-RU"/>
        </w:rPr>
        <w:t>7010 від 28</w:t>
      </w:r>
      <w:bookmarkStart w:id="0" w:name="_GoBack"/>
      <w:bookmarkEnd w:id="0"/>
      <w:r w:rsidRPr="00B935B9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="00A559CA" w:rsidRPr="00B935B9">
        <w:rPr>
          <w:rFonts w:ascii="Calibri" w:eastAsia="Times New Roman" w:hAnsi="Calibri" w:cs="Arial"/>
          <w:sz w:val="24"/>
          <w:szCs w:val="24"/>
          <w:lang w:eastAsia="ru-RU"/>
        </w:rPr>
        <w:t>липня</w:t>
      </w:r>
      <w:r w:rsidRPr="00B935B9">
        <w:rPr>
          <w:rFonts w:ascii="Calibri" w:eastAsia="Times New Roman" w:hAnsi="Calibri" w:cs="Arial"/>
          <w:sz w:val="24"/>
          <w:szCs w:val="24"/>
          <w:lang w:eastAsia="ru-RU"/>
        </w:rPr>
        <w:t xml:space="preserve"> 2017 р.</w:t>
      </w:r>
    </w:p>
    <w:p w:rsidR="00A03C53" w:rsidRPr="00B935B9" w:rsidRDefault="00A03C53" w:rsidP="00A03C53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 w:rsidRPr="00B935B9">
        <w:rPr>
          <w:rFonts w:ascii="Calibri" w:eastAsia="Calibri" w:hAnsi="Calibri" w:cs="Arial"/>
          <w:sz w:val="24"/>
          <w:szCs w:val="24"/>
        </w:rPr>
        <w:t xml:space="preserve">Суб’єкт права законодавчої ініціативи: народні депутати України </w:t>
      </w:r>
      <w:r w:rsidR="00915387" w:rsidRPr="00B935B9">
        <w:rPr>
          <w:rFonts w:ascii="Calibri" w:eastAsia="Calibri" w:hAnsi="Calibri" w:cs="Arial"/>
          <w:sz w:val="24"/>
          <w:szCs w:val="24"/>
        </w:rPr>
        <w:t xml:space="preserve">Кришин О.Ю., </w:t>
      </w:r>
      <w:proofErr w:type="spellStart"/>
      <w:r w:rsidR="00915387" w:rsidRPr="00B935B9">
        <w:rPr>
          <w:rFonts w:ascii="Calibri" w:eastAsia="Calibri" w:hAnsi="Calibri" w:cs="Arial"/>
          <w:sz w:val="24"/>
          <w:szCs w:val="24"/>
        </w:rPr>
        <w:t>Южаніна</w:t>
      </w:r>
      <w:proofErr w:type="spellEnd"/>
      <w:r w:rsidR="00915387" w:rsidRPr="00B935B9">
        <w:rPr>
          <w:rFonts w:ascii="Calibri" w:eastAsia="Calibri" w:hAnsi="Calibri" w:cs="Arial"/>
          <w:sz w:val="24"/>
          <w:szCs w:val="24"/>
        </w:rPr>
        <w:t xml:space="preserve"> Н.П., </w:t>
      </w:r>
      <w:proofErr w:type="spellStart"/>
      <w:r w:rsidR="00915387" w:rsidRPr="00B935B9">
        <w:rPr>
          <w:rFonts w:ascii="Calibri" w:eastAsia="Calibri" w:hAnsi="Calibri" w:cs="Arial"/>
          <w:sz w:val="24"/>
          <w:szCs w:val="24"/>
        </w:rPr>
        <w:t>Острікова</w:t>
      </w:r>
      <w:proofErr w:type="spellEnd"/>
      <w:r w:rsidR="00915387" w:rsidRPr="00B935B9">
        <w:rPr>
          <w:rFonts w:ascii="Calibri" w:eastAsia="Calibri" w:hAnsi="Calibri" w:cs="Arial"/>
          <w:sz w:val="24"/>
          <w:szCs w:val="24"/>
        </w:rPr>
        <w:t xml:space="preserve"> Т.Г.</w:t>
      </w:r>
    </w:p>
    <w:p w:rsidR="00F7022E" w:rsidRPr="00B935B9" w:rsidRDefault="00A03C53" w:rsidP="00A03C53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 w:rsidRPr="00B935B9"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 w:rsidRPr="00B935B9"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Комітет </w:t>
      </w:r>
      <w:r w:rsidR="00B857C9" w:rsidRPr="00B935B9">
        <w:rPr>
          <w:rFonts w:ascii="Calibri" w:eastAsia="Calibri" w:hAnsi="Calibri" w:cs="Arial"/>
          <w:sz w:val="24"/>
          <w:szCs w:val="24"/>
          <w:shd w:val="clear" w:color="auto" w:fill="FFFFFF"/>
        </w:rPr>
        <w:t>з питань податкової та митної політики</w:t>
      </w:r>
    </w:p>
    <w:p w:rsidR="00B857C9" w:rsidRPr="00B935B9" w:rsidRDefault="00B857C9" w:rsidP="00A03C53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5B9"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 w:rsidRPr="00B935B9"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 w:rsidRPr="00B935B9">
        <w:rPr>
          <w:rFonts w:ascii="Times New Roman" w:eastAsia="Calibri" w:hAnsi="Times New Roman" w:cs="Calibri"/>
          <w:sz w:val="28"/>
          <w:szCs w:val="28"/>
          <w:u w:val="single"/>
        </w:rPr>
        <w:t xml:space="preserve"> виявлено </w:t>
      </w:r>
      <w:proofErr w:type="spellStart"/>
      <w:r w:rsidRPr="00B935B9">
        <w:rPr>
          <w:rFonts w:ascii="Times New Roman" w:eastAsia="Calibri" w:hAnsi="Times New Roman" w:cs="Calibri"/>
          <w:sz w:val="28"/>
          <w:szCs w:val="28"/>
          <w:u w:val="single"/>
        </w:rPr>
        <w:t>корупціогенні</w:t>
      </w:r>
      <w:proofErr w:type="spellEnd"/>
      <w:r w:rsidRPr="00B935B9"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фактори – проект </w:t>
      </w:r>
      <w:proofErr w:type="spellStart"/>
      <w:r w:rsidRPr="00B935B9"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 w:rsidRPr="00B935B9">
        <w:rPr>
          <w:rFonts w:ascii="Times New Roman" w:eastAsia="Calibri" w:hAnsi="Times New Roman" w:cs="Calibri"/>
          <w:sz w:val="28"/>
          <w:szCs w:val="28"/>
          <w:u w:val="single"/>
        </w:rPr>
        <w:t xml:space="preserve"> не відповідає вимогам антикорупційного законодавства </w:t>
      </w:r>
      <w:r w:rsidRPr="00B935B9">
        <w:rPr>
          <w:rFonts w:ascii="Times New Roman" w:eastAsia="Calibri" w:hAnsi="Times New Roman" w:cs="Calibri"/>
          <w:sz w:val="28"/>
          <w:szCs w:val="28"/>
        </w:rPr>
        <w:t xml:space="preserve">(рішення Комітету від </w:t>
      </w:r>
      <w:r w:rsidR="008C36C3" w:rsidRPr="00B935B9">
        <w:rPr>
          <w:rFonts w:ascii="Times New Roman" w:eastAsia="Calibri" w:hAnsi="Times New Roman" w:cs="Calibri"/>
          <w:sz w:val="28"/>
          <w:szCs w:val="28"/>
        </w:rPr>
        <w:t>4</w:t>
      </w:r>
      <w:r w:rsidRPr="00B935B9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8C36C3" w:rsidRPr="00B935B9">
        <w:rPr>
          <w:rFonts w:ascii="Times New Roman" w:eastAsia="Calibri" w:hAnsi="Times New Roman" w:cs="Calibri"/>
          <w:sz w:val="28"/>
          <w:szCs w:val="28"/>
        </w:rPr>
        <w:t xml:space="preserve">квітня </w:t>
      </w:r>
      <w:r w:rsidRPr="00B935B9">
        <w:rPr>
          <w:rFonts w:ascii="Times New Roman" w:eastAsia="Calibri" w:hAnsi="Times New Roman" w:cs="Calibri"/>
          <w:sz w:val="28"/>
          <w:szCs w:val="28"/>
        </w:rPr>
        <w:t>2018 р., протокол № 118).</w:t>
      </w:r>
      <w:r w:rsidRPr="00B935B9">
        <w:rPr>
          <w:rFonts w:ascii="Times New Roman" w:eastAsia="Calibri" w:hAnsi="Times New Roman" w:cs="Times New Roman"/>
          <w:sz w:val="28"/>
          <w:szCs w:val="28"/>
        </w:rPr>
        <w:tab/>
      </w:r>
    </w:p>
    <w:p w:rsidR="00BC4A67" w:rsidRPr="00B935B9" w:rsidRDefault="00BC4A67" w:rsidP="00BC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законопроекті шляхом внесення змін до Митного кодексу України (далі – Кодекс) пропонується </w:t>
      </w:r>
      <w:r w:rsidRPr="00B9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запровадження та функціонування механізму «єдиного вікна» на кордоні, що є важливим чинником для покращення умов ведення зовнішньоекономічної діяльності в Україні, зменшення часу, необхідного для здійснення експортно-імпортних операцій, поліпшення інвестиційної привабливості України, а також підвищення інституційних </w:t>
      </w:r>
      <w:proofErr w:type="spellStart"/>
      <w:r w:rsidRPr="00B935B9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спроможностей</w:t>
      </w:r>
      <w:proofErr w:type="spellEnd"/>
      <w:r w:rsidRPr="00B9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державних органів щодо здійснення контролю за міжнародною торгівлею.</w:t>
      </w:r>
    </w:p>
    <w:p w:rsidR="009D7646" w:rsidRPr="00B935B9" w:rsidRDefault="00A74010" w:rsidP="009D7646">
      <w:pPr>
        <w:pStyle w:val="StyleZakonu"/>
        <w:spacing w:after="0" w:line="240" w:lineRule="auto"/>
        <w:ind w:firstLine="709"/>
        <w:rPr>
          <w:sz w:val="28"/>
          <w:szCs w:val="28"/>
          <w:shd w:val="clear" w:color="auto" w:fill="FFFFFF"/>
          <w:lang w:val="uk-UA"/>
        </w:rPr>
      </w:pPr>
      <w:r w:rsidRPr="00B935B9">
        <w:rPr>
          <w:sz w:val="28"/>
          <w:szCs w:val="28"/>
          <w:lang w:val="uk-UA"/>
        </w:rPr>
        <w:t xml:space="preserve">Разом з тим, </w:t>
      </w:r>
      <w:r w:rsidR="009C2411" w:rsidRPr="00B935B9">
        <w:rPr>
          <w:sz w:val="28"/>
          <w:szCs w:val="28"/>
          <w:lang w:val="uk-UA"/>
        </w:rPr>
        <w:t xml:space="preserve">положення п. 7 ч. 6 нової </w:t>
      </w:r>
      <w:r w:rsidR="009C2411" w:rsidRPr="00B935B9">
        <w:rPr>
          <w:sz w:val="28"/>
          <w:lang w:val="uk-UA" w:eastAsia="en-US"/>
        </w:rPr>
        <w:t>статті</w:t>
      </w:r>
      <w:r w:rsidR="009C2411" w:rsidRPr="00B935B9">
        <w:rPr>
          <w:sz w:val="28"/>
          <w:lang w:val="uk-UA" w:eastAsia="en-US"/>
        </w:rPr>
        <w:t xml:space="preserve"> 33-1</w:t>
      </w:r>
      <w:r w:rsidR="009C2411" w:rsidRPr="00B935B9">
        <w:rPr>
          <w:sz w:val="28"/>
          <w:lang w:val="uk-UA" w:eastAsia="en-US"/>
        </w:rPr>
        <w:t xml:space="preserve"> законопроекту</w:t>
      </w:r>
      <w:r w:rsidR="00705A45" w:rsidRPr="00B935B9">
        <w:rPr>
          <w:sz w:val="28"/>
          <w:lang w:val="uk-UA" w:eastAsia="en-US"/>
        </w:rPr>
        <w:t>, яким</w:t>
      </w:r>
      <w:r w:rsidR="009C2411" w:rsidRPr="00B935B9">
        <w:rPr>
          <w:sz w:val="28"/>
          <w:lang w:val="uk-UA" w:eastAsia="en-US"/>
        </w:rPr>
        <w:t xml:space="preserve"> </w:t>
      </w:r>
      <w:r w:rsidR="00213F0C" w:rsidRPr="00B935B9">
        <w:rPr>
          <w:sz w:val="28"/>
          <w:lang w:val="uk-UA" w:eastAsia="en-US"/>
        </w:rPr>
        <w:t>доповнюється</w:t>
      </w:r>
      <w:r w:rsidR="00811BE4" w:rsidRPr="00B935B9">
        <w:rPr>
          <w:sz w:val="28"/>
          <w:lang w:val="uk-UA" w:eastAsia="en-US"/>
        </w:rPr>
        <w:t xml:space="preserve"> </w:t>
      </w:r>
      <w:r w:rsidR="00D1668C" w:rsidRPr="00B935B9">
        <w:rPr>
          <w:sz w:val="28"/>
          <w:szCs w:val="28"/>
          <w:lang w:val="uk-UA"/>
        </w:rPr>
        <w:t>Митний</w:t>
      </w:r>
      <w:r w:rsidR="00BC5F84" w:rsidRPr="00B935B9">
        <w:rPr>
          <w:sz w:val="28"/>
          <w:szCs w:val="28"/>
          <w:lang w:val="uk-UA"/>
        </w:rPr>
        <w:t xml:space="preserve"> кодекс</w:t>
      </w:r>
      <w:r w:rsidR="00BC5F84" w:rsidRPr="00B935B9">
        <w:rPr>
          <w:sz w:val="28"/>
          <w:szCs w:val="28"/>
          <w:lang w:val="uk-UA"/>
        </w:rPr>
        <w:t xml:space="preserve"> України</w:t>
      </w:r>
      <w:r w:rsidR="009D7646" w:rsidRPr="00B935B9">
        <w:rPr>
          <w:sz w:val="28"/>
          <w:lang w:val="uk-UA" w:eastAsia="en-US"/>
        </w:rPr>
        <w:t xml:space="preserve">, </w:t>
      </w:r>
      <w:r w:rsidR="00CB5FE5">
        <w:rPr>
          <w:sz w:val="28"/>
          <w:lang w:val="uk-UA" w:eastAsia="en-US"/>
        </w:rPr>
        <w:t>неналежним чином визначають</w:t>
      </w:r>
      <w:r w:rsidR="00AB282E" w:rsidRPr="00B935B9">
        <w:rPr>
          <w:sz w:val="28"/>
          <w:lang w:val="uk-UA" w:eastAsia="en-US"/>
        </w:rPr>
        <w:t xml:space="preserve"> функції</w:t>
      </w:r>
      <w:r w:rsidR="009D7646" w:rsidRPr="00B935B9">
        <w:rPr>
          <w:sz w:val="28"/>
          <w:shd w:val="clear" w:color="auto" w:fill="FFFFFF"/>
          <w:lang w:val="uk-UA"/>
        </w:rPr>
        <w:t xml:space="preserve">, необхідні для забезпечення гармонізації </w:t>
      </w:r>
      <w:r w:rsidR="009D7646" w:rsidRPr="00B935B9">
        <w:rPr>
          <w:sz w:val="28"/>
          <w:szCs w:val="28"/>
          <w:shd w:val="clear" w:color="auto" w:fill="FFFFFF"/>
          <w:lang w:val="uk-UA"/>
        </w:rPr>
        <w:t xml:space="preserve">відомостей. </w:t>
      </w:r>
      <w:r w:rsidR="00AB282E" w:rsidRPr="00B935B9">
        <w:rPr>
          <w:sz w:val="28"/>
          <w:szCs w:val="28"/>
          <w:shd w:val="clear" w:color="auto" w:fill="FFFFFF"/>
          <w:lang w:val="uk-UA"/>
        </w:rPr>
        <w:t xml:space="preserve">Законопроектом не </w:t>
      </w:r>
      <w:r w:rsidR="00AB282E" w:rsidRPr="00B935B9">
        <w:rPr>
          <w:sz w:val="28"/>
          <w:szCs w:val="28"/>
          <w:shd w:val="clear" w:color="auto" w:fill="FFFFFF"/>
          <w:lang w:val="uk-UA"/>
        </w:rPr>
        <w:lastRenderedPageBreak/>
        <w:t>передбачений</w:t>
      </w:r>
      <w:r w:rsidR="009D7646" w:rsidRPr="00B935B9">
        <w:rPr>
          <w:sz w:val="28"/>
          <w:szCs w:val="28"/>
          <w:shd w:val="clear" w:color="auto" w:fill="FFFFFF"/>
          <w:lang w:val="uk-UA"/>
        </w:rPr>
        <w:t xml:space="preserve"> </w:t>
      </w:r>
      <w:r w:rsidR="00AB282E" w:rsidRPr="00B935B9">
        <w:rPr>
          <w:sz w:val="28"/>
          <w:szCs w:val="28"/>
          <w:shd w:val="clear" w:color="auto" w:fill="FFFFFF"/>
          <w:lang w:val="uk-UA"/>
        </w:rPr>
        <w:t xml:space="preserve">вичерпний перелік таких функцій, що має </w:t>
      </w:r>
      <w:r w:rsidR="009D7646" w:rsidRPr="00B935B9">
        <w:rPr>
          <w:sz w:val="28"/>
          <w:szCs w:val="28"/>
          <w:shd w:val="clear" w:color="auto" w:fill="FFFFFF"/>
          <w:lang w:val="uk-UA"/>
        </w:rPr>
        <w:t>бути визначений у Кодексі.</w:t>
      </w:r>
    </w:p>
    <w:p w:rsidR="003F7164" w:rsidRDefault="00AC3BF6" w:rsidP="00B3640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Наслідком чого може бути надмірне розширення дискреційних повноважень</w:t>
      </w:r>
      <w:r w:rsidR="00B935B9" w:rsidRPr="00B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посадовим</w:t>
      </w:r>
      <w:r w:rsidR="008E67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35B9" w:rsidRPr="00B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</w:t>
      </w:r>
      <w:r w:rsidR="008E67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35B9" w:rsidRPr="00B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митних органів</w:t>
      </w:r>
      <w:r w:rsidRPr="00B935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створення умов для виникнення конфлікту інтересів та можливостей для зловживання наданими їм повноваженнями</w:t>
      </w:r>
      <w:r w:rsidR="004E6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164" w:rsidRDefault="005B4756" w:rsidP="000319D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  <w:szCs w:val="28"/>
          <w:lang w:eastAsia="ru-RU"/>
        </w:rPr>
        <w:t>Такі самі зауваження стосую</w:t>
      </w:r>
      <w:r w:rsidR="006A6581">
        <w:rPr>
          <w:sz w:val="28"/>
          <w:szCs w:val="28"/>
          <w:lang w:eastAsia="ru-RU"/>
        </w:rPr>
        <w:t>ться</w:t>
      </w:r>
      <w:r w:rsidR="00AC3BF6" w:rsidRPr="00B935B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і </w:t>
      </w:r>
      <w:r w:rsidR="003F7164">
        <w:rPr>
          <w:rStyle w:val="FontStyle"/>
          <w:sz w:val="28"/>
          <w:szCs w:val="28"/>
        </w:rPr>
        <w:t>доповнення ст</w:t>
      </w:r>
      <w:r>
        <w:rPr>
          <w:rStyle w:val="FontStyle"/>
          <w:sz w:val="28"/>
          <w:szCs w:val="28"/>
        </w:rPr>
        <w:t>атті</w:t>
      </w:r>
      <w:r w:rsidR="003F7164">
        <w:rPr>
          <w:rStyle w:val="FontStyle"/>
          <w:sz w:val="28"/>
          <w:szCs w:val="28"/>
        </w:rPr>
        <w:t xml:space="preserve"> 17 Закону України «Про карантин рослин» новою частиною, згідно з якою «д</w:t>
      </w:r>
      <w:r w:rsidR="003F7164" w:rsidRPr="00105F61">
        <w:rPr>
          <w:sz w:val="28"/>
        </w:rPr>
        <w:t xml:space="preserve">ля проведення </w:t>
      </w:r>
      <w:r w:rsidR="003F7164" w:rsidRPr="000522E7">
        <w:rPr>
          <w:sz w:val="28"/>
        </w:rPr>
        <w:t>аналізу ризику та управління ризиком можуть використовуватися інформаційні технології». Із змісту проекту не зрозуміло, що включається до поняття «інформаційних технологі</w:t>
      </w:r>
      <w:r w:rsidR="000319DB">
        <w:rPr>
          <w:sz w:val="28"/>
        </w:rPr>
        <w:t>й»</w:t>
      </w:r>
      <w:r w:rsidR="003F7164">
        <w:rPr>
          <w:sz w:val="28"/>
        </w:rPr>
        <w:t xml:space="preserve">. </w:t>
      </w:r>
      <w:r w:rsidR="000319DB">
        <w:rPr>
          <w:sz w:val="28"/>
        </w:rPr>
        <w:t>Водночас проектом</w:t>
      </w:r>
      <w:r w:rsidR="003F7164">
        <w:rPr>
          <w:sz w:val="28"/>
        </w:rPr>
        <w:t xml:space="preserve"> пропонується, що «з</w:t>
      </w:r>
      <w:r w:rsidR="003F7164" w:rsidRPr="00105F61">
        <w:rPr>
          <w:sz w:val="28"/>
        </w:rPr>
        <w:t xml:space="preserve">а результатами аналізу ризику державним </w:t>
      </w:r>
      <w:proofErr w:type="spellStart"/>
      <w:r w:rsidR="003F7164" w:rsidRPr="00105F61">
        <w:rPr>
          <w:sz w:val="28"/>
        </w:rPr>
        <w:t>фітосанітарним</w:t>
      </w:r>
      <w:proofErr w:type="spellEnd"/>
      <w:r w:rsidR="003F7164" w:rsidRPr="00105F61">
        <w:rPr>
          <w:sz w:val="28"/>
        </w:rPr>
        <w:t xml:space="preserve"> інспектором визначається вид </w:t>
      </w:r>
      <w:proofErr w:type="spellStart"/>
      <w:r w:rsidR="003F7164" w:rsidRPr="00105F61">
        <w:rPr>
          <w:sz w:val="28"/>
        </w:rPr>
        <w:t>фітосанітарного</w:t>
      </w:r>
      <w:proofErr w:type="spellEnd"/>
      <w:r w:rsidR="003F7164" w:rsidRPr="00105F61">
        <w:rPr>
          <w:sz w:val="28"/>
        </w:rPr>
        <w:t xml:space="preserve"> контролю вантажів з об</w:t>
      </w:r>
      <w:r w:rsidR="003F7164" w:rsidRPr="00105F61">
        <w:t>’</w:t>
      </w:r>
      <w:r w:rsidR="003F7164" w:rsidRPr="00105F61">
        <w:rPr>
          <w:sz w:val="28"/>
        </w:rPr>
        <w:t>єктами регулювання, що імпортуються або ввозяться на митну територію України з метою транзиту (стандартний або розширений)</w:t>
      </w:r>
      <w:r w:rsidR="000319DB">
        <w:rPr>
          <w:sz w:val="28"/>
        </w:rPr>
        <w:t>»</w:t>
      </w:r>
      <w:r w:rsidR="003F7164">
        <w:rPr>
          <w:sz w:val="28"/>
        </w:rPr>
        <w:t xml:space="preserve">. </w:t>
      </w:r>
    </w:p>
    <w:p w:rsidR="00A03C53" w:rsidRPr="00B935B9" w:rsidRDefault="00A03C53" w:rsidP="009E72E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5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викладене та з метою усунення </w:t>
      </w:r>
      <w:proofErr w:type="spellStart"/>
      <w:r w:rsidRPr="00B935B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корупціогенного</w:t>
      </w:r>
      <w:proofErr w:type="spellEnd"/>
      <w:r w:rsidRPr="00B935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фактору законопроект доцільно </w:t>
      </w:r>
      <w:r w:rsidR="003F716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доопрацювати</w:t>
      </w:r>
      <w:r w:rsidRPr="00B935B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E72EE" w:rsidRPr="00B935B9" w:rsidRDefault="009E72EE" w:rsidP="00A03C53">
      <w:pPr>
        <w:tabs>
          <w:tab w:val="left" w:pos="9356"/>
        </w:tabs>
        <w:spacing w:after="360" w:line="240" w:lineRule="auto"/>
        <w:ind w:right="-2"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A03C53" w:rsidRPr="00B935B9" w:rsidRDefault="00A03C53" w:rsidP="00A03C53">
      <w:pPr>
        <w:tabs>
          <w:tab w:val="left" w:pos="9356"/>
        </w:tabs>
        <w:spacing w:after="360" w:line="240" w:lineRule="auto"/>
        <w:ind w:right="-2"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B935B9">
        <w:rPr>
          <w:rFonts w:ascii="Times New Roman" w:eastAsia="Calibri" w:hAnsi="Times New Roman" w:cs="Calibri"/>
          <w:b/>
          <w:sz w:val="28"/>
          <w:szCs w:val="28"/>
        </w:rPr>
        <w:t>Перший заступник Голови Комітету                                         Ю.П. Савчук</w:t>
      </w: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03C53" w:rsidRPr="00B935B9" w:rsidRDefault="00A03C53" w:rsidP="00A03C53">
      <w:pPr>
        <w:spacing w:after="120" w:line="240" w:lineRule="auto"/>
        <w:jc w:val="both"/>
        <w:rPr>
          <w:rFonts w:ascii="Times New Roman" w:eastAsia="Calibri" w:hAnsi="Times New Roman" w:cs="Calibri"/>
          <w:sz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03C53" w:rsidRPr="00B935B9" w:rsidRDefault="00A03C53" w:rsidP="00A03C5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03C53" w:rsidRPr="00B935B9" w:rsidRDefault="00A03C53" w:rsidP="00A03C53"/>
    <w:p w:rsidR="00A03C53" w:rsidRPr="00B935B9" w:rsidRDefault="00A03C53" w:rsidP="00A03C53"/>
    <w:p w:rsidR="00A03C53" w:rsidRPr="00B935B9" w:rsidRDefault="00A03C53" w:rsidP="00A03C53"/>
    <w:p w:rsidR="00C44CBD" w:rsidRPr="00B935B9" w:rsidRDefault="00C44CBD"/>
    <w:sectPr w:rsidR="00C44CBD" w:rsidRPr="00B93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DE"/>
    <w:rsid w:val="00001D36"/>
    <w:rsid w:val="0001033C"/>
    <w:rsid w:val="000319DB"/>
    <w:rsid w:val="000522E7"/>
    <w:rsid w:val="000575D8"/>
    <w:rsid w:val="0007453A"/>
    <w:rsid w:val="000C017F"/>
    <w:rsid w:val="000E6F1E"/>
    <w:rsid w:val="0012625E"/>
    <w:rsid w:val="00127FDB"/>
    <w:rsid w:val="001C1601"/>
    <w:rsid w:val="001E1434"/>
    <w:rsid w:val="001E1A78"/>
    <w:rsid w:val="00212269"/>
    <w:rsid w:val="00213F0C"/>
    <w:rsid w:val="00247032"/>
    <w:rsid w:val="00262E07"/>
    <w:rsid w:val="00321C08"/>
    <w:rsid w:val="0036086A"/>
    <w:rsid w:val="003E4C68"/>
    <w:rsid w:val="003F7164"/>
    <w:rsid w:val="00405727"/>
    <w:rsid w:val="00434AEA"/>
    <w:rsid w:val="004E606B"/>
    <w:rsid w:val="004F4DF0"/>
    <w:rsid w:val="00576210"/>
    <w:rsid w:val="005B4756"/>
    <w:rsid w:val="005D3C1F"/>
    <w:rsid w:val="005D69F8"/>
    <w:rsid w:val="005F2C64"/>
    <w:rsid w:val="00621C99"/>
    <w:rsid w:val="0063297B"/>
    <w:rsid w:val="0068671B"/>
    <w:rsid w:val="006A6581"/>
    <w:rsid w:val="00705A45"/>
    <w:rsid w:val="007562BF"/>
    <w:rsid w:val="007B3121"/>
    <w:rsid w:val="007F37DB"/>
    <w:rsid w:val="00811BE4"/>
    <w:rsid w:val="00825ED9"/>
    <w:rsid w:val="0083091C"/>
    <w:rsid w:val="0087298F"/>
    <w:rsid w:val="008C36C3"/>
    <w:rsid w:val="008E67B7"/>
    <w:rsid w:val="00900D9C"/>
    <w:rsid w:val="009047DD"/>
    <w:rsid w:val="00912C57"/>
    <w:rsid w:val="00915387"/>
    <w:rsid w:val="009C2411"/>
    <w:rsid w:val="009D38C5"/>
    <w:rsid w:val="009D7646"/>
    <w:rsid w:val="009E72EE"/>
    <w:rsid w:val="00A01344"/>
    <w:rsid w:val="00A03C53"/>
    <w:rsid w:val="00A559CA"/>
    <w:rsid w:val="00A74010"/>
    <w:rsid w:val="00AB282E"/>
    <w:rsid w:val="00AC3BF6"/>
    <w:rsid w:val="00B161EA"/>
    <w:rsid w:val="00B36400"/>
    <w:rsid w:val="00B850D4"/>
    <w:rsid w:val="00B857C9"/>
    <w:rsid w:val="00B91843"/>
    <w:rsid w:val="00B935B9"/>
    <w:rsid w:val="00BC4A67"/>
    <w:rsid w:val="00BC5F84"/>
    <w:rsid w:val="00C44CBD"/>
    <w:rsid w:val="00CB5FE5"/>
    <w:rsid w:val="00D127EE"/>
    <w:rsid w:val="00D1668C"/>
    <w:rsid w:val="00D65AAA"/>
    <w:rsid w:val="00DE2154"/>
    <w:rsid w:val="00E363ED"/>
    <w:rsid w:val="00E44322"/>
    <w:rsid w:val="00E5007C"/>
    <w:rsid w:val="00E622ED"/>
    <w:rsid w:val="00EA19E1"/>
    <w:rsid w:val="00F46FAA"/>
    <w:rsid w:val="00F65A39"/>
    <w:rsid w:val="00F7022E"/>
    <w:rsid w:val="00F83C1A"/>
    <w:rsid w:val="00F86FDE"/>
    <w:rsid w:val="00F97CF5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A0A1"/>
  <w15:chartTrackingRefBased/>
  <w15:docId w15:val="{12A16F87-6C29-442E-B473-A0C6494E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03C53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_о___іїР__ ѕ¬Р"/>
    <w:basedOn w:val="a"/>
    <w:uiPriority w:val="99"/>
    <w:rsid w:val="00576210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E72EE"/>
    <w:rPr>
      <w:rFonts w:ascii="Segoe UI" w:hAnsi="Segoe UI" w:cs="Segoe UI"/>
      <w:sz w:val="18"/>
      <w:szCs w:val="18"/>
    </w:rPr>
  </w:style>
  <w:style w:type="paragraph" w:customStyle="1" w:styleId="StyleZakonu">
    <w:name w:val="StyleZakonu"/>
    <w:basedOn w:val="a"/>
    <w:link w:val="StyleZakonu0"/>
    <w:rsid w:val="009D7646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tyleZakonu0">
    <w:name w:val="StyleZakonu Знак"/>
    <w:link w:val="StyleZakonu"/>
    <w:locked/>
    <w:rsid w:val="009D76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3F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">
    <w:name w:val="Font Style"/>
    <w:uiPriority w:val="99"/>
    <w:rsid w:val="003F716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88</cp:revision>
  <cp:lastPrinted>2018-04-06T08:31:00Z</cp:lastPrinted>
  <dcterms:created xsi:type="dcterms:W3CDTF">2018-02-20T09:10:00Z</dcterms:created>
  <dcterms:modified xsi:type="dcterms:W3CDTF">2018-04-06T08:51:00Z</dcterms:modified>
</cp:coreProperties>
</file>