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8B" w:rsidRPr="0011175A" w:rsidRDefault="0082738B" w:rsidP="0082738B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реєстр. № 8049</w:t>
      </w:r>
    </w:p>
    <w:p w:rsidR="0082738B" w:rsidRPr="0011175A" w:rsidRDefault="0082738B" w:rsidP="0082738B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22 лютого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2018</w:t>
      </w:r>
      <w:r w:rsidRPr="0011175A">
        <w:rPr>
          <w:sz w:val="28"/>
          <w:szCs w:val="28"/>
          <w:lang w:eastAsia="ru-RU"/>
        </w:rPr>
        <w:t xml:space="preserve"> року</w:t>
      </w:r>
    </w:p>
    <w:p w:rsidR="0082738B" w:rsidRPr="0011175A" w:rsidRDefault="0082738B" w:rsidP="0082738B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2738B" w:rsidRPr="0011175A" w:rsidRDefault="0082738B" w:rsidP="0082738B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2738B" w:rsidRPr="0011175A" w:rsidRDefault="0082738B" w:rsidP="0082738B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1175A">
        <w:rPr>
          <w:b/>
          <w:bCs/>
          <w:sz w:val="28"/>
          <w:szCs w:val="28"/>
          <w:lang w:eastAsia="ru-RU"/>
        </w:rPr>
        <w:t>ВИСНОВОК</w:t>
      </w:r>
    </w:p>
    <w:p w:rsidR="0082738B" w:rsidRPr="0011175A" w:rsidRDefault="0082738B" w:rsidP="0082738B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2738B" w:rsidRPr="0011175A" w:rsidRDefault="0082738B" w:rsidP="0082738B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11175A">
        <w:rPr>
          <w:b/>
          <w:sz w:val="28"/>
          <w:szCs w:val="28"/>
          <w:lang w:eastAsia="ru-RU"/>
        </w:rPr>
        <w:t>Комітету Верховної Ради України</w:t>
      </w:r>
    </w:p>
    <w:p w:rsidR="0082738B" w:rsidRDefault="0082738B" w:rsidP="0082738B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11175A">
        <w:rPr>
          <w:b/>
          <w:sz w:val="28"/>
          <w:szCs w:val="28"/>
          <w:lang w:eastAsia="ru-RU"/>
        </w:rPr>
        <w:t>з питань правової політики та правосуддя</w:t>
      </w:r>
    </w:p>
    <w:p w:rsidR="0082738B" w:rsidRPr="0011175A" w:rsidRDefault="0082738B" w:rsidP="0082738B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06121B" w:rsidRPr="008E18B3" w:rsidRDefault="0006121B" w:rsidP="0006121B">
      <w:pPr>
        <w:tabs>
          <w:tab w:val="left" w:pos="3450"/>
        </w:tabs>
        <w:jc w:val="center"/>
        <w:rPr>
          <w:b/>
          <w:szCs w:val="28"/>
        </w:rPr>
      </w:pPr>
    </w:p>
    <w:p w:rsidR="0006121B" w:rsidRPr="0006121B" w:rsidRDefault="0006121B" w:rsidP="0006121B">
      <w:pPr>
        <w:jc w:val="center"/>
        <w:rPr>
          <w:b/>
          <w:sz w:val="28"/>
          <w:szCs w:val="28"/>
        </w:rPr>
      </w:pPr>
      <w:r w:rsidRPr="0006121B">
        <w:rPr>
          <w:b/>
          <w:sz w:val="28"/>
          <w:szCs w:val="28"/>
        </w:rPr>
        <w:t>щодо проекту Закону</w:t>
      </w:r>
    </w:p>
    <w:p w:rsidR="0006121B" w:rsidRDefault="0006121B" w:rsidP="0006121B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06121B">
        <w:rPr>
          <w:b/>
          <w:bCs/>
          <w:sz w:val="27"/>
          <w:szCs w:val="27"/>
          <w:lang w:eastAsia="uk-UA"/>
        </w:rPr>
        <w:t xml:space="preserve">про внесення змін до Закону України </w:t>
      </w:r>
    </w:p>
    <w:p w:rsidR="0006121B" w:rsidRPr="0006121B" w:rsidRDefault="0006121B" w:rsidP="0006121B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06121B">
        <w:rPr>
          <w:b/>
          <w:bCs/>
          <w:sz w:val="27"/>
          <w:szCs w:val="27"/>
          <w:lang w:eastAsia="uk-UA"/>
        </w:rPr>
        <w:t>«Про Державний земельний кадастр»</w:t>
      </w:r>
    </w:p>
    <w:p w:rsidR="0006121B" w:rsidRDefault="0006121B" w:rsidP="0006121B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06121B">
        <w:rPr>
          <w:b/>
          <w:bCs/>
          <w:sz w:val="27"/>
          <w:szCs w:val="27"/>
          <w:lang w:eastAsia="uk-UA"/>
        </w:rPr>
        <w:t xml:space="preserve">щодо розширення переліку осіб, які здійснюють </w:t>
      </w:r>
    </w:p>
    <w:p w:rsidR="0006121B" w:rsidRDefault="0006121B" w:rsidP="0006121B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06121B">
        <w:rPr>
          <w:b/>
          <w:bCs/>
          <w:sz w:val="27"/>
          <w:szCs w:val="27"/>
          <w:lang w:eastAsia="uk-UA"/>
        </w:rPr>
        <w:t xml:space="preserve">внесення відомостей до Державного земельного кадастру </w:t>
      </w:r>
    </w:p>
    <w:p w:rsidR="0006121B" w:rsidRPr="0006121B" w:rsidRDefault="0006121B" w:rsidP="0006121B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06121B">
        <w:rPr>
          <w:b/>
          <w:bCs/>
          <w:sz w:val="27"/>
          <w:szCs w:val="27"/>
          <w:lang w:eastAsia="uk-UA"/>
        </w:rPr>
        <w:t>та надання відповідної інформації з нього</w:t>
      </w:r>
    </w:p>
    <w:p w:rsidR="0006121B" w:rsidRPr="0006121B" w:rsidRDefault="0006121B" w:rsidP="0006121B">
      <w:pPr>
        <w:jc w:val="center"/>
        <w:rPr>
          <w:b/>
          <w:sz w:val="28"/>
          <w:szCs w:val="28"/>
        </w:rPr>
      </w:pPr>
      <w:r w:rsidRPr="0006121B">
        <w:rPr>
          <w:b/>
          <w:sz w:val="28"/>
          <w:szCs w:val="28"/>
        </w:rPr>
        <w:t>(реєстр. № 8049 від 22 лютого 2018 року)</w:t>
      </w:r>
    </w:p>
    <w:p w:rsidR="0006121B" w:rsidRPr="0006121B" w:rsidRDefault="0006121B" w:rsidP="0006121B">
      <w:pPr>
        <w:jc w:val="center"/>
        <w:rPr>
          <w:sz w:val="28"/>
          <w:szCs w:val="28"/>
        </w:rPr>
      </w:pPr>
    </w:p>
    <w:p w:rsidR="0006121B" w:rsidRPr="0006121B" w:rsidRDefault="0006121B" w:rsidP="0006121B">
      <w:pPr>
        <w:suppressAutoHyphens w:val="0"/>
        <w:ind w:firstLine="709"/>
        <w:jc w:val="both"/>
        <w:outlineLvl w:val="2"/>
        <w:rPr>
          <w:bCs/>
          <w:sz w:val="28"/>
          <w:szCs w:val="28"/>
          <w:lang w:eastAsia="uk-UA"/>
        </w:rPr>
      </w:pPr>
      <w:r w:rsidRPr="0006121B">
        <w:rPr>
          <w:bCs/>
          <w:sz w:val="28"/>
          <w:szCs w:val="28"/>
          <w:lang w:eastAsia="uk-UA"/>
        </w:rPr>
        <w:t xml:space="preserve">Комітет Верховної Ради України з питань правової політики та правосуддя </w:t>
      </w:r>
      <w:r w:rsidRPr="009E5B44">
        <w:rPr>
          <w:bCs/>
          <w:sz w:val="28"/>
          <w:szCs w:val="28"/>
          <w:lang w:eastAsia="uk-UA"/>
        </w:rPr>
        <w:t xml:space="preserve">розглянув на </w:t>
      </w:r>
      <w:r>
        <w:rPr>
          <w:bCs/>
          <w:sz w:val="28"/>
          <w:szCs w:val="28"/>
          <w:lang w:eastAsia="uk-UA"/>
        </w:rPr>
        <w:t>своєму засіданні 17 січня 2019 року (протокол № 76)</w:t>
      </w:r>
      <w:r w:rsidRPr="00C83FCD">
        <w:rPr>
          <w:bCs/>
          <w:sz w:val="28"/>
          <w:szCs w:val="28"/>
          <w:lang w:eastAsia="uk-UA"/>
        </w:rPr>
        <w:t xml:space="preserve"> </w:t>
      </w:r>
      <w:r w:rsidRPr="0006121B">
        <w:rPr>
          <w:bCs/>
          <w:sz w:val="28"/>
          <w:szCs w:val="28"/>
          <w:lang w:eastAsia="uk-UA"/>
        </w:rPr>
        <w:t>на відповідність Конституції України проект Закону про внесення змін до Закону України «Про Державний земельний кадастр» щодо розширення переліку осіб, які здійснюють внесення відомостей до Державного земельного кадастру та надання</w:t>
      </w:r>
      <w:r>
        <w:rPr>
          <w:bCs/>
          <w:sz w:val="28"/>
          <w:szCs w:val="28"/>
          <w:lang w:eastAsia="uk-UA"/>
        </w:rPr>
        <w:t xml:space="preserve"> відповідної інформації з нього</w:t>
      </w:r>
      <w:r w:rsidRPr="0006121B">
        <w:rPr>
          <w:bCs/>
          <w:sz w:val="28"/>
          <w:szCs w:val="28"/>
          <w:lang w:eastAsia="uk-UA"/>
        </w:rPr>
        <w:t xml:space="preserve"> (реєстр. № 8049 від 22 лютого 2018 року), поданий Кабінетом Міністрів України (далі - Законопроект).</w:t>
      </w:r>
    </w:p>
    <w:p w:rsidR="0006121B" w:rsidRPr="0006121B" w:rsidRDefault="0006121B" w:rsidP="0006121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121B">
        <w:rPr>
          <w:sz w:val="28"/>
          <w:szCs w:val="28"/>
        </w:rPr>
        <w:t>Згідно з пояснювальною запискою до Законопроекту його метою є</w:t>
      </w:r>
      <w:r w:rsidRPr="0006121B">
        <w:rPr>
          <w:sz w:val="28"/>
          <w:szCs w:val="28"/>
          <w:lang w:eastAsia="ru-RU"/>
        </w:rPr>
        <w:t xml:space="preserve"> покращення умов надання такої адміністративної послуги, як здійснення державної реєстрації земельної ділянки, шляхом децентралізації повноважень у сфері ведення Державного земельного кадастру, що дасть змогу Україні підвищити позицію у рейтингу Світового банку «Ведення бізнесу».</w:t>
      </w:r>
    </w:p>
    <w:p w:rsidR="0006121B" w:rsidRPr="0006121B" w:rsidRDefault="0006121B" w:rsidP="0006121B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121B">
        <w:rPr>
          <w:rFonts w:eastAsia="Calibri"/>
          <w:sz w:val="28"/>
          <w:szCs w:val="28"/>
          <w:lang w:eastAsia="en-US"/>
        </w:rPr>
        <w:t xml:space="preserve">Для досягнення мети пропонується </w:t>
      </w:r>
      <w:proofErr w:type="spellStart"/>
      <w:r w:rsidRPr="0006121B">
        <w:rPr>
          <w:sz w:val="28"/>
          <w:szCs w:val="28"/>
          <w:lang w:eastAsia="ru-RU"/>
        </w:rPr>
        <w:t>внести</w:t>
      </w:r>
      <w:proofErr w:type="spellEnd"/>
      <w:r w:rsidRPr="0006121B">
        <w:rPr>
          <w:sz w:val="28"/>
          <w:szCs w:val="28"/>
          <w:lang w:eastAsia="ru-RU"/>
        </w:rPr>
        <w:t xml:space="preserve"> зміни до</w:t>
      </w:r>
      <w:r w:rsidRPr="0006121B">
        <w:rPr>
          <w:rFonts w:eastAsia="Calibri"/>
          <w:sz w:val="28"/>
          <w:szCs w:val="28"/>
          <w:lang w:eastAsia="ru-RU"/>
        </w:rPr>
        <w:t xml:space="preserve"> </w:t>
      </w:r>
      <w:r w:rsidRPr="0006121B">
        <w:rPr>
          <w:sz w:val="28"/>
          <w:szCs w:val="28"/>
          <w:lang w:eastAsia="ru-RU"/>
        </w:rPr>
        <w:t>Закону України «Про Державний земельний кадастр». Зокрема, пропонується надати повноваження щодо реєстрації заяви в електронній формі про внесення відомостей до Державного земельного кадастру про земельні ділянки сертифікованим інженерам-землевпорядникам.</w:t>
      </w:r>
      <w:r w:rsidRPr="0006121B">
        <w:rPr>
          <w:rFonts w:eastAsia="Calibri"/>
          <w:sz w:val="28"/>
          <w:szCs w:val="28"/>
          <w:lang w:eastAsia="ru-RU"/>
        </w:rPr>
        <w:t xml:space="preserve"> Крім того, з метою виявлення порушень державної реєстрації земельних ділянок державними кадастровими реєстраторами, сертифікованими інженерами-землевпорядниками проектом Закону пропонується запровадити здійснення Державною службою України з питань геодезії, картографії та кадастру постійного моніторингу внесення відомостей до Державного земельного кадастру державними кадастровими реєстраторами та сертифікованими інженерами-землевпорядниками.</w:t>
      </w:r>
    </w:p>
    <w:p w:rsidR="0006121B" w:rsidRPr="0006121B" w:rsidRDefault="0006121B" w:rsidP="0006121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6"/>
        </w:rPr>
      </w:pPr>
      <w:r w:rsidRPr="0006121B">
        <w:rPr>
          <w:rFonts w:eastAsia="MS ??"/>
          <w:bCs/>
          <w:sz w:val="28"/>
          <w:szCs w:val="26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  <w:r w:rsidRPr="0006121B">
        <w:rPr>
          <w:rFonts w:eastAsia="MS ??"/>
          <w:bCs/>
          <w:sz w:val="28"/>
          <w:szCs w:val="26"/>
        </w:rPr>
        <w:t>У Конституції України зазначається, що Україна є правовою державою (</w:t>
      </w:r>
      <w:r w:rsidRPr="0006121B">
        <w:rPr>
          <w:rFonts w:eastAsia="MS ??"/>
          <w:bCs/>
          <w:sz w:val="28"/>
          <w:szCs w:val="28"/>
        </w:rPr>
        <w:t xml:space="preserve">стаття 1), органи законодавчої, виконавчої та судової влади здійснюють свої повноваження у встановлених Конституцією межах і відповідно до Законів </w:t>
      </w:r>
      <w:r w:rsidRPr="0006121B">
        <w:rPr>
          <w:rFonts w:eastAsia="MS ??"/>
          <w:bCs/>
          <w:sz w:val="28"/>
          <w:szCs w:val="28"/>
        </w:rPr>
        <w:lastRenderedPageBreak/>
        <w:t>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  <w:r w:rsidRPr="0006121B">
        <w:rPr>
          <w:rFonts w:eastAsia="MS ??"/>
          <w:bCs/>
          <w:sz w:val="28"/>
          <w:szCs w:val="28"/>
        </w:rPr>
        <w:t>Нормами Конституції України встановлено, що право власності на землю гарантується. Це право набувається і реалізується громадянами, юридичними особами та державою виключно відповідно до закону (частина друга статті 14).</w:t>
      </w:r>
    </w:p>
    <w:p w:rsidR="0006121B" w:rsidRPr="0006121B" w:rsidRDefault="0006121B" w:rsidP="0006121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121B">
        <w:rPr>
          <w:color w:val="000000"/>
          <w:sz w:val="28"/>
          <w:szCs w:val="28"/>
        </w:rPr>
        <w:t>У Рішенні від 22 вересня 2005 року № 5-рп/2005 Конституційний Суд України зазначив, що правовий режим власності означає врегулювання нормами закону земельних відносин, порядку та умов поділу земель на категорії, правове визначення форм власності на землю, порядку набуття і здійснення права власності, а також права постійного чи тимчасового землекористування щодо управління землями тощо, реалізацію та позбавлення цього права, функції, компетенцію органів державної влади і місцевого самоврядування. Держава забезпечує захист прав усіх суб’єктів права власності і господарювання, їх рівність перед законом, соціальну спрямованість економіки (частина четверта статті 13 Конституції України. Основний Закон України гарантує кожному право володіти, користуватися і розпоряджатися своєю власністю відповідно до закону (стаття 41) (абзаци другий, третій пункту 6 мотивувальної частини</w:t>
      </w:r>
      <w:r>
        <w:rPr>
          <w:color w:val="000000"/>
          <w:sz w:val="28"/>
          <w:szCs w:val="28"/>
        </w:rPr>
        <w:t xml:space="preserve"> Рішення</w:t>
      </w:r>
      <w:r w:rsidRPr="0006121B">
        <w:rPr>
          <w:color w:val="000000"/>
          <w:sz w:val="28"/>
          <w:szCs w:val="28"/>
        </w:rPr>
        <w:t>).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  <w:r w:rsidRPr="0006121B">
        <w:rPr>
          <w:rFonts w:eastAsia="MS ??"/>
          <w:bCs/>
          <w:sz w:val="28"/>
          <w:szCs w:val="28"/>
        </w:rPr>
        <w:t>Органи державної влади зобов’язані діяти лише на підставі, в межах повноважень та у спосіб, що передбачені Конституцією та Законами України (частина друга статті 19 Конституції України).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  <w:r w:rsidRPr="0006121B">
        <w:rPr>
          <w:rFonts w:eastAsia="MS ??"/>
          <w:bCs/>
          <w:sz w:val="28"/>
          <w:szCs w:val="28"/>
        </w:rPr>
        <w:t>Організація, повноваження і порядок діяльності Кабінету Міністрів України, інших центральних та місцевих органів виконавчої влади визначаються Конституцією і законами України (частина друга статті 120 Конституції України).</w:t>
      </w:r>
    </w:p>
    <w:p w:rsidR="0006121B" w:rsidRPr="0006121B" w:rsidRDefault="0006121B" w:rsidP="0006121B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6121B">
        <w:rPr>
          <w:rFonts w:eastAsia="Calibri"/>
          <w:sz w:val="28"/>
          <w:szCs w:val="28"/>
          <w:lang w:eastAsia="en-US"/>
        </w:rPr>
        <w:t xml:space="preserve">Конституцією України (пункти 1, 12 частини першої статті 92) встановлено, що права і свободи людини і громадянина, гарантії цих прав і свобод; </w:t>
      </w:r>
      <w:r w:rsidRPr="0006121B">
        <w:rPr>
          <w:rFonts w:eastAsia="Calibri"/>
          <w:bCs/>
          <w:sz w:val="28"/>
          <w:szCs w:val="28"/>
          <w:lang w:eastAsia="en-US"/>
        </w:rPr>
        <w:t xml:space="preserve">діяльність органів виконавчої влади </w:t>
      </w:r>
      <w:r w:rsidRPr="0006121B">
        <w:rPr>
          <w:rFonts w:eastAsia="Calibri"/>
          <w:sz w:val="28"/>
          <w:szCs w:val="28"/>
          <w:lang w:eastAsia="en-US"/>
        </w:rPr>
        <w:t>визначаються виключно законом.</w:t>
      </w:r>
    </w:p>
    <w:p w:rsidR="0006121B" w:rsidRPr="0006121B" w:rsidRDefault="0006121B" w:rsidP="0006121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121B">
        <w:rPr>
          <w:sz w:val="28"/>
          <w:szCs w:val="28"/>
          <w:lang w:eastAsia="ru-RU"/>
        </w:rPr>
        <w:t>За правовою позицією Конституційного Суду України, викладеною у Рішенні від 24 грудня 2004 року № 22-рп/2004, забезпечення прав і свобод, крім усього іншого, потребує, зокрема, законодавчого закріплення механізмів (процедур), які створюють реальні можливості для здійснення кожним громадянином прав і свобод (абзац четвертий підпункту 3.2 пункту 3 мотивувальної частини</w:t>
      </w:r>
      <w:r>
        <w:rPr>
          <w:sz w:val="28"/>
          <w:szCs w:val="28"/>
          <w:lang w:eastAsia="ru-RU"/>
        </w:rPr>
        <w:t xml:space="preserve"> Рішення</w:t>
      </w:r>
      <w:r w:rsidRPr="0006121B">
        <w:rPr>
          <w:sz w:val="28"/>
          <w:szCs w:val="28"/>
          <w:lang w:eastAsia="ru-RU"/>
        </w:rPr>
        <w:t xml:space="preserve">). </w:t>
      </w:r>
    </w:p>
    <w:p w:rsidR="0006121B" w:rsidRPr="0006121B" w:rsidRDefault="0006121B" w:rsidP="0006121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21B">
        <w:rPr>
          <w:rFonts w:eastAsia="Calibri"/>
          <w:sz w:val="28"/>
          <w:szCs w:val="28"/>
          <w:lang w:eastAsia="en-US"/>
        </w:rPr>
        <w:t xml:space="preserve">У </w:t>
      </w:r>
      <w:hyperlink r:id="rId4" w:tgtFrame="_blank" w:history="1">
        <w:r w:rsidRPr="0006121B">
          <w:rPr>
            <w:rFonts w:eastAsia="Calibri"/>
            <w:sz w:val="28"/>
            <w:szCs w:val="28"/>
            <w:lang w:eastAsia="en-US"/>
          </w:rPr>
          <w:t>Рішенні від 12 лютого 2002 року № 3-рп/2002</w:t>
        </w:r>
      </w:hyperlink>
      <w:r w:rsidRPr="0006121B">
        <w:rPr>
          <w:rFonts w:eastAsia="Calibri"/>
          <w:sz w:val="28"/>
          <w:szCs w:val="28"/>
          <w:lang w:eastAsia="en-US"/>
        </w:rPr>
        <w:t xml:space="preserve"> Конституційний Суд України зазначив, що Конституція України як головне джерело національної правової системи є також базою поточного законодавства. Вона надає можливість урегулювання певних суспільних відносин на рівні законів, які конкретизують закріплені в Основному Законі положення (абзац перший підпункту 3.1 пункту 3 мотивувальної частини</w:t>
      </w:r>
      <w:r>
        <w:rPr>
          <w:rFonts w:eastAsia="Calibri"/>
          <w:sz w:val="28"/>
          <w:szCs w:val="28"/>
          <w:lang w:eastAsia="en-US"/>
        </w:rPr>
        <w:t xml:space="preserve"> Рішення</w:t>
      </w:r>
      <w:r w:rsidRPr="0006121B">
        <w:rPr>
          <w:rFonts w:eastAsia="Calibri"/>
          <w:sz w:val="28"/>
          <w:szCs w:val="28"/>
          <w:lang w:eastAsia="en-US"/>
        </w:rPr>
        <w:t>).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  <w:r w:rsidRPr="0006121B">
        <w:rPr>
          <w:rFonts w:eastAsia="MS ??"/>
          <w:bCs/>
          <w:sz w:val="28"/>
          <w:szCs w:val="28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85).</w:t>
      </w:r>
    </w:p>
    <w:p w:rsidR="0006121B" w:rsidRPr="0006121B" w:rsidRDefault="0006121B" w:rsidP="0006121B">
      <w:pPr>
        <w:autoSpaceDE w:val="0"/>
        <w:ind w:firstLine="709"/>
        <w:jc w:val="both"/>
        <w:rPr>
          <w:rFonts w:eastAsia="MS ??"/>
          <w:bCs/>
          <w:sz w:val="28"/>
          <w:szCs w:val="28"/>
        </w:rPr>
      </w:pPr>
    </w:p>
    <w:p w:rsidR="0006121B" w:rsidRPr="0006121B" w:rsidRDefault="0006121B" w:rsidP="0006121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21B">
        <w:rPr>
          <w:rFonts w:eastAsia="Calibri"/>
          <w:sz w:val="28"/>
          <w:szCs w:val="28"/>
          <w:lang w:eastAsia="en-US"/>
        </w:rPr>
        <w:t xml:space="preserve">Враховуючи викладене, Комітет дійшов висновку, що проект Закону про внесення змін до Закону України «Про Державний земельний кадастр» щодо розширення переліку осіб, які здійснюють внесення відомостей до Державного </w:t>
      </w:r>
      <w:r w:rsidRPr="0006121B">
        <w:rPr>
          <w:rFonts w:eastAsia="Calibri"/>
          <w:sz w:val="28"/>
          <w:szCs w:val="28"/>
          <w:lang w:eastAsia="en-US"/>
        </w:rPr>
        <w:lastRenderedPageBreak/>
        <w:t>земельного кадастру та надання відповідної і</w:t>
      </w:r>
      <w:r>
        <w:rPr>
          <w:rFonts w:eastAsia="Calibri"/>
          <w:sz w:val="28"/>
          <w:szCs w:val="28"/>
          <w:lang w:eastAsia="en-US"/>
        </w:rPr>
        <w:t>нформації з нього</w:t>
      </w:r>
      <w:r w:rsidRPr="0006121B">
        <w:rPr>
          <w:rFonts w:eastAsia="Calibri"/>
          <w:sz w:val="28"/>
          <w:szCs w:val="28"/>
          <w:lang w:eastAsia="en-US"/>
        </w:rPr>
        <w:t xml:space="preserve"> (реєстр. № 8049 від 22 лютого 2018 року), поданий Кабінетом Міністрів України, не суперечить положенням Конституції України.</w:t>
      </w:r>
    </w:p>
    <w:p w:rsidR="0006121B" w:rsidRDefault="0006121B" w:rsidP="0006121B">
      <w:pPr>
        <w:suppressAutoHyphens w:val="0"/>
        <w:rPr>
          <w:b/>
          <w:bCs/>
          <w:sz w:val="28"/>
          <w:szCs w:val="28"/>
          <w:lang w:eastAsia="ru-RU"/>
        </w:rPr>
      </w:pPr>
    </w:p>
    <w:p w:rsidR="0006121B" w:rsidRDefault="0006121B" w:rsidP="0006121B">
      <w:pPr>
        <w:suppressAutoHyphens w:val="0"/>
        <w:rPr>
          <w:b/>
          <w:bCs/>
          <w:sz w:val="28"/>
          <w:szCs w:val="28"/>
          <w:lang w:eastAsia="ru-RU"/>
        </w:rPr>
      </w:pPr>
    </w:p>
    <w:p w:rsidR="0006121B" w:rsidRDefault="0006121B" w:rsidP="0006121B">
      <w:pPr>
        <w:suppressAutoHyphens w:val="0"/>
        <w:rPr>
          <w:b/>
          <w:bCs/>
          <w:sz w:val="28"/>
          <w:szCs w:val="28"/>
          <w:lang w:eastAsia="ru-RU"/>
        </w:rPr>
      </w:pPr>
    </w:p>
    <w:p w:rsidR="0006121B" w:rsidRPr="0006121B" w:rsidRDefault="0006121B" w:rsidP="0006121B">
      <w:pPr>
        <w:suppressAutoHyphens w:val="0"/>
        <w:rPr>
          <w:b/>
          <w:bCs/>
          <w:sz w:val="28"/>
          <w:szCs w:val="28"/>
          <w:lang w:eastAsia="ru-RU"/>
        </w:rPr>
      </w:pPr>
      <w:r w:rsidRPr="0006121B">
        <w:rPr>
          <w:b/>
          <w:bCs/>
          <w:sz w:val="28"/>
          <w:szCs w:val="28"/>
          <w:lang w:eastAsia="ru-RU"/>
        </w:rPr>
        <w:t>Голова Комітету</w:t>
      </w:r>
      <w:r w:rsidRPr="0006121B">
        <w:rPr>
          <w:b/>
          <w:bCs/>
          <w:sz w:val="28"/>
          <w:szCs w:val="28"/>
          <w:lang w:eastAsia="ru-RU"/>
        </w:rPr>
        <w:tab/>
      </w:r>
      <w:r w:rsidRPr="0006121B">
        <w:rPr>
          <w:b/>
          <w:bCs/>
          <w:sz w:val="28"/>
          <w:szCs w:val="28"/>
          <w:lang w:eastAsia="ru-RU"/>
        </w:rPr>
        <w:tab/>
      </w:r>
      <w:r w:rsidRPr="0006121B">
        <w:rPr>
          <w:b/>
          <w:bCs/>
          <w:sz w:val="28"/>
          <w:szCs w:val="28"/>
          <w:lang w:eastAsia="ru-RU"/>
        </w:rPr>
        <w:tab/>
      </w:r>
      <w:r w:rsidRPr="0006121B">
        <w:rPr>
          <w:b/>
          <w:bCs/>
          <w:sz w:val="28"/>
          <w:szCs w:val="28"/>
          <w:lang w:eastAsia="ru-RU"/>
        </w:rPr>
        <w:tab/>
      </w:r>
      <w:r w:rsidRPr="0006121B">
        <w:rPr>
          <w:b/>
          <w:bCs/>
          <w:sz w:val="28"/>
          <w:szCs w:val="28"/>
          <w:lang w:eastAsia="ru-RU"/>
        </w:rPr>
        <w:tab/>
      </w:r>
      <w:r w:rsidRPr="0006121B">
        <w:rPr>
          <w:b/>
          <w:bCs/>
          <w:sz w:val="28"/>
          <w:szCs w:val="28"/>
          <w:lang w:eastAsia="ru-RU"/>
        </w:rPr>
        <w:tab/>
        <w:t xml:space="preserve">            Р.П. КНЯЗЕВИЧ</w:t>
      </w:r>
    </w:p>
    <w:p w:rsidR="0006121B" w:rsidRPr="0006121B" w:rsidRDefault="0006121B" w:rsidP="0006121B">
      <w:pPr>
        <w:suppressAutoHyphens w:val="0"/>
        <w:ind w:firstLine="708"/>
        <w:rPr>
          <w:sz w:val="28"/>
          <w:szCs w:val="20"/>
          <w:lang w:eastAsia="ru-RU"/>
        </w:rPr>
      </w:pPr>
    </w:p>
    <w:p w:rsidR="00877B83" w:rsidRDefault="00877B83"/>
    <w:sectPr w:rsidR="00877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1"/>
    <w:rsid w:val="0006121B"/>
    <w:rsid w:val="0082738B"/>
    <w:rsid w:val="00877B83"/>
    <w:rsid w:val="00F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640"/>
  <w15:chartTrackingRefBased/>
  <w15:docId w15:val="{3569D2E0-9118-493A-8B75-A719A74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1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rada/show/v003p710-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3628</Words>
  <Characters>2068</Characters>
  <Application>Microsoft Office Word</Application>
  <DocSecurity>0</DocSecurity>
  <Lines>17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Оксана Олегівна</dc:creator>
  <cp:keywords/>
  <dc:description/>
  <cp:lastModifiedBy>Котвицька Оксана Олегівна</cp:lastModifiedBy>
  <cp:revision>3</cp:revision>
  <dcterms:created xsi:type="dcterms:W3CDTF">2019-01-18T07:39:00Z</dcterms:created>
  <dcterms:modified xsi:type="dcterms:W3CDTF">2019-01-22T10:49:00Z</dcterms:modified>
</cp:coreProperties>
</file>