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79" w:rsidRPr="00F133D3" w:rsidRDefault="006B7B79" w:rsidP="006B7B79">
      <w:pPr>
        <w:jc w:val="center"/>
        <w:rPr>
          <w:b/>
          <w:sz w:val="28"/>
        </w:rPr>
      </w:pPr>
      <w:r w:rsidRPr="00F133D3">
        <w:rPr>
          <w:b/>
          <w:sz w:val="28"/>
        </w:rPr>
        <w:t>ПОЯСНЮВАЛЬНА ЗАПИСКА</w:t>
      </w:r>
    </w:p>
    <w:p w:rsidR="006B7B79" w:rsidRPr="003326F7" w:rsidRDefault="00646356" w:rsidP="00646356">
      <w:pPr>
        <w:spacing w:before="120"/>
        <w:jc w:val="center"/>
        <w:rPr>
          <w:sz w:val="28"/>
          <w:lang w:val="ru-RU"/>
        </w:rPr>
      </w:pPr>
      <w:r w:rsidRPr="00646356">
        <w:rPr>
          <w:b/>
          <w:sz w:val="28"/>
        </w:rPr>
        <w:t>до проекту Закону України «Про внесення змін до деяких законів України щодо запровадження основ фінансової прозорості електронних засобів масової інформації»</w:t>
      </w:r>
    </w:p>
    <w:p w:rsidR="00646356" w:rsidRDefault="00646356" w:rsidP="006B7B79">
      <w:pPr>
        <w:spacing w:before="120"/>
        <w:ind w:firstLine="709"/>
        <w:jc w:val="both"/>
        <w:rPr>
          <w:b/>
          <w:sz w:val="28"/>
        </w:rPr>
      </w:pPr>
    </w:p>
    <w:p w:rsidR="006B7B79" w:rsidRDefault="006B7B79" w:rsidP="006B7B79">
      <w:pPr>
        <w:spacing w:before="120"/>
        <w:ind w:firstLine="709"/>
        <w:jc w:val="both"/>
        <w:rPr>
          <w:b/>
          <w:sz w:val="28"/>
        </w:rPr>
      </w:pPr>
      <w:r w:rsidRPr="00F133D3">
        <w:rPr>
          <w:b/>
          <w:sz w:val="28"/>
        </w:rPr>
        <w:t>1. Обґрунтування необхі</w:t>
      </w:r>
      <w:r>
        <w:rPr>
          <w:b/>
          <w:sz w:val="28"/>
        </w:rPr>
        <w:t xml:space="preserve">дності прийняття законопроекту </w:t>
      </w:r>
    </w:p>
    <w:p w:rsidR="00F2273F" w:rsidRDefault="00646356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Впродовж останніх років Верховна Рада України здійснює послідовні кроки для </w:t>
      </w:r>
      <w:r w:rsidR="00F2273F">
        <w:rPr>
          <w:sz w:val="28"/>
        </w:rPr>
        <w:t xml:space="preserve">забезпечення більшої прозорості українського медійного ринку. </w:t>
      </w:r>
      <w:r w:rsidR="00BF38F1">
        <w:rPr>
          <w:sz w:val="28"/>
        </w:rPr>
        <w:t>Так, у вересні</w:t>
      </w:r>
      <w:r w:rsidR="00F2273F" w:rsidRPr="00F2273F">
        <w:rPr>
          <w:sz w:val="28"/>
        </w:rPr>
        <w:t xml:space="preserve"> 2015 року прийнято Закон України </w:t>
      </w:r>
      <w:r w:rsidR="00F2273F">
        <w:rPr>
          <w:sz w:val="28"/>
        </w:rPr>
        <w:t>№</w:t>
      </w:r>
      <w:r w:rsidR="00F2273F" w:rsidRPr="00F2273F">
        <w:rPr>
          <w:sz w:val="28"/>
        </w:rPr>
        <w:t>674-VIII</w:t>
      </w:r>
      <w:r w:rsidR="00F2273F">
        <w:rPr>
          <w:sz w:val="28"/>
        </w:rPr>
        <w:t xml:space="preserve"> щодо прозорості власності електронних ЗМІ, </w:t>
      </w:r>
      <w:r w:rsidR="00BF38F1">
        <w:rPr>
          <w:sz w:val="28"/>
        </w:rPr>
        <w:t xml:space="preserve">в 2017 році </w:t>
      </w:r>
      <w:r w:rsidR="00F2273F">
        <w:rPr>
          <w:sz w:val="28"/>
        </w:rPr>
        <w:t xml:space="preserve">профільним комітетом схвалено і рекомендовано до прийняття в першому читанні проект №6762 щодо удосконалення механізмів </w:t>
      </w:r>
      <w:r w:rsidR="00F2273F" w:rsidRPr="00F2273F">
        <w:rPr>
          <w:sz w:val="28"/>
        </w:rPr>
        <w:t>забезпечення прозорості власності аудіовізуальних (електронних) засобів масової інформації</w:t>
      </w:r>
      <w:r w:rsidR="00F2273F">
        <w:rPr>
          <w:sz w:val="28"/>
        </w:rPr>
        <w:t xml:space="preserve">. </w:t>
      </w:r>
    </w:p>
    <w:p w:rsidR="00F2273F" w:rsidRDefault="00F2273F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Але </w:t>
      </w:r>
      <w:r w:rsidR="00BF38F1">
        <w:rPr>
          <w:sz w:val="28"/>
        </w:rPr>
        <w:t xml:space="preserve">з часом стає все </w:t>
      </w:r>
      <w:r w:rsidR="001E562E">
        <w:rPr>
          <w:sz w:val="28"/>
        </w:rPr>
        <w:t>більш очевидною</w:t>
      </w:r>
      <w:r>
        <w:rPr>
          <w:sz w:val="28"/>
        </w:rPr>
        <w:t xml:space="preserve"> </w:t>
      </w:r>
      <w:r w:rsidR="001E562E">
        <w:rPr>
          <w:sz w:val="28"/>
        </w:rPr>
        <w:t xml:space="preserve">необхідність </w:t>
      </w:r>
      <w:r>
        <w:rPr>
          <w:sz w:val="28"/>
        </w:rPr>
        <w:t>забезпечення не лише прозорості власності</w:t>
      </w:r>
      <w:r w:rsidR="001E562E">
        <w:rPr>
          <w:sz w:val="28"/>
        </w:rPr>
        <w:t xml:space="preserve"> медіа, але й прозорості</w:t>
      </w:r>
      <w:r>
        <w:rPr>
          <w:sz w:val="28"/>
        </w:rPr>
        <w:t xml:space="preserve"> їх фінансування. </w:t>
      </w:r>
      <w:r w:rsidR="00BF38F1">
        <w:rPr>
          <w:sz w:val="28"/>
        </w:rPr>
        <w:t xml:space="preserve">Зрозуміло, </w:t>
      </w:r>
      <w:r w:rsidR="001E562E">
        <w:rPr>
          <w:sz w:val="28"/>
        </w:rPr>
        <w:t xml:space="preserve">що </w:t>
      </w:r>
      <w:r w:rsidR="00AB7191">
        <w:rPr>
          <w:sz w:val="28"/>
        </w:rPr>
        <w:t xml:space="preserve">фактичний вплив на інформаційну політику ЗМІ може здійснюватися не лише через формальні адміністративні відносини між </w:t>
      </w:r>
      <w:r w:rsidR="00831920">
        <w:rPr>
          <w:sz w:val="28"/>
        </w:rPr>
        <w:t xml:space="preserve">власником та належним йому </w:t>
      </w:r>
      <w:proofErr w:type="spellStart"/>
      <w:r w:rsidR="00831920">
        <w:rPr>
          <w:sz w:val="28"/>
        </w:rPr>
        <w:t>медіаактивом</w:t>
      </w:r>
      <w:proofErr w:type="spellEnd"/>
      <w:r w:rsidR="00831920">
        <w:rPr>
          <w:sz w:val="28"/>
        </w:rPr>
        <w:t xml:space="preserve">, але й через </w:t>
      </w:r>
      <w:r w:rsidR="003614CC">
        <w:rPr>
          <w:sz w:val="28"/>
        </w:rPr>
        <w:t>фінансові відносини</w:t>
      </w:r>
      <w:r w:rsidR="00BF38F1">
        <w:rPr>
          <w:sz w:val="28"/>
        </w:rPr>
        <w:t xml:space="preserve"> з третіми особами</w:t>
      </w:r>
      <w:r w:rsidR="003614CC">
        <w:rPr>
          <w:sz w:val="28"/>
        </w:rPr>
        <w:t xml:space="preserve">. </w:t>
      </w:r>
      <w:r w:rsidR="00743DF4">
        <w:rPr>
          <w:sz w:val="28"/>
        </w:rPr>
        <w:t xml:space="preserve">Всім відомо, що інформаційне наповнення ефіру часто обумовлене </w:t>
      </w:r>
      <w:r w:rsidR="00BF38F1">
        <w:rPr>
          <w:sz w:val="28"/>
        </w:rPr>
        <w:t xml:space="preserve">лише </w:t>
      </w:r>
      <w:r w:rsidR="00743DF4">
        <w:rPr>
          <w:sz w:val="28"/>
        </w:rPr>
        <w:t>грошовими зобов’язання</w:t>
      </w:r>
      <w:r w:rsidR="00BF38F1">
        <w:rPr>
          <w:sz w:val="28"/>
        </w:rPr>
        <w:t>ми</w:t>
      </w:r>
      <w:r w:rsidR="00743DF4">
        <w:rPr>
          <w:sz w:val="28"/>
        </w:rPr>
        <w:t>, прихованою купівлею телевізійного або радіоефіру особою, яка</w:t>
      </w:r>
      <w:r w:rsidR="00FC739E">
        <w:rPr>
          <w:sz w:val="28"/>
        </w:rPr>
        <w:t>,</w:t>
      </w:r>
      <w:r w:rsidR="00743DF4">
        <w:rPr>
          <w:sz w:val="28"/>
        </w:rPr>
        <w:t xml:space="preserve"> не будучи власником</w:t>
      </w:r>
      <w:r w:rsidR="00FC739E">
        <w:rPr>
          <w:sz w:val="28"/>
        </w:rPr>
        <w:t xml:space="preserve">, набуває фінансових важелів для </w:t>
      </w:r>
      <w:r w:rsidR="00D730D8">
        <w:rPr>
          <w:sz w:val="28"/>
        </w:rPr>
        <w:t>пропагандистських або інших, подекуди</w:t>
      </w:r>
      <w:r w:rsidR="00910F5B">
        <w:rPr>
          <w:sz w:val="28"/>
        </w:rPr>
        <w:t xml:space="preserve"> </w:t>
      </w:r>
      <w:r w:rsidR="008A5A04">
        <w:rPr>
          <w:sz w:val="28"/>
        </w:rPr>
        <w:t>сумнівних з точки зору закону</w:t>
      </w:r>
      <w:r w:rsidR="00D730D8">
        <w:rPr>
          <w:sz w:val="28"/>
        </w:rPr>
        <w:t xml:space="preserve"> цілей. </w:t>
      </w:r>
    </w:p>
    <w:p w:rsidR="000A49FB" w:rsidRDefault="00BE3567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Перший крок для впровадження фінансової прозорості був зроблений Верховною Радою </w:t>
      </w:r>
      <w:r w:rsidR="00BF38F1">
        <w:rPr>
          <w:sz w:val="28"/>
        </w:rPr>
        <w:t xml:space="preserve">в 2015 році </w:t>
      </w:r>
      <w:r>
        <w:rPr>
          <w:sz w:val="28"/>
        </w:rPr>
        <w:t xml:space="preserve">з прийняттям Закону </w:t>
      </w:r>
      <w:r w:rsidR="000A49FB">
        <w:rPr>
          <w:sz w:val="28"/>
        </w:rPr>
        <w:t>№</w:t>
      </w:r>
      <w:r w:rsidR="000A49FB" w:rsidRPr="00F2273F">
        <w:rPr>
          <w:sz w:val="28"/>
        </w:rPr>
        <w:t>674-VIII</w:t>
      </w:r>
      <w:r w:rsidR="000A49FB">
        <w:rPr>
          <w:sz w:val="28"/>
          <w:lang w:val="ru-RU"/>
        </w:rPr>
        <w:t xml:space="preserve">. </w:t>
      </w:r>
      <w:r w:rsidR="000A49FB">
        <w:rPr>
          <w:sz w:val="28"/>
        </w:rPr>
        <w:t xml:space="preserve">Серед іншого, ним доповнено статтю 40 Закону України «Про телебачення і радіомовлення» зобов’язаннями провайдерів програмної послуги </w:t>
      </w:r>
      <w:r w:rsidR="000A49FB" w:rsidRPr="000A49FB">
        <w:rPr>
          <w:sz w:val="28"/>
        </w:rPr>
        <w:t>щороку</w:t>
      </w:r>
      <w:r w:rsidR="000A49FB">
        <w:rPr>
          <w:sz w:val="28"/>
        </w:rPr>
        <w:t xml:space="preserve"> </w:t>
      </w:r>
      <w:r w:rsidR="000A49FB" w:rsidRPr="000A49FB">
        <w:rPr>
          <w:sz w:val="28"/>
        </w:rPr>
        <w:t>оприлюднювати на своєму офіційному веб-сайті та подавати до Національної ради відомості про осіб, які впродовж звітного року надавали провайдеру програмної послуги фінансування (кредити, позики, фінансову допомогу тощо)</w:t>
      </w:r>
      <w:r w:rsidR="000A49FB">
        <w:rPr>
          <w:sz w:val="28"/>
        </w:rPr>
        <w:t xml:space="preserve">. </w:t>
      </w:r>
    </w:p>
    <w:p w:rsidR="00D208CF" w:rsidRPr="000A49FB" w:rsidRDefault="00D208CF" w:rsidP="00D208CF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Але встановивши відповідні вимоги фінансової прозорості для одного виду суб’єктів інформаційної діяльності </w:t>
      </w:r>
      <w:r w:rsidRPr="00D208CF">
        <w:rPr>
          <w:sz w:val="28"/>
        </w:rPr>
        <w:t>у сфері телебачення і радіомовленн</w:t>
      </w:r>
      <w:r>
        <w:rPr>
          <w:sz w:val="28"/>
        </w:rPr>
        <w:t xml:space="preserve">я, Парламент не врегулював аналогічне питання для інших суб’єктів, передусім для телерадіоорганізацій. </w:t>
      </w:r>
    </w:p>
    <w:p w:rsidR="008A5A04" w:rsidRDefault="00D208CF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Для заповнення даної прогалини пропонується прийняти даний проект.</w:t>
      </w:r>
    </w:p>
    <w:p w:rsidR="001317EC" w:rsidRPr="00DA76B0" w:rsidRDefault="001317EC" w:rsidP="001317EC">
      <w:pPr>
        <w:spacing w:before="120"/>
        <w:ind w:firstLine="708"/>
        <w:jc w:val="both"/>
        <w:rPr>
          <w:b/>
          <w:sz w:val="28"/>
        </w:rPr>
      </w:pPr>
      <w:r w:rsidRPr="00DA76B0">
        <w:rPr>
          <w:b/>
          <w:sz w:val="28"/>
        </w:rPr>
        <w:t>2.</w:t>
      </w:r>
      <w:r>
        <w:rPr>
          <w:b/>
          <w:sz w:val="28"/>
        </w:rPr>
        <w:t> </w:t>
      </w:r>
      <w:r w:rsidRPr="00DA76B0">
        <w:rPr>
          <w:b/>
          <w:sz w:val="28"/>
        </w:rPr>
        <w:t>Цілі і завдання законопроекту</w:t>
      </w:r>
    </w:p>
    <w:p w:rsidR="00D208CF" w:rsidRDefault="001317EC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Метою законопроекту є запровадження правових засад </w:t>
      </w:r>
      <w:r w:rsidR="00D208CF">
        <w:rPr>
          <w:sz w:val="28"/>
        </w:rPr>
        <w:t xml:space="preserve">реалізації організаціями мовлення </w:t>
      </w:r>
      <w:r w:rsidR="004B5051">
        <w:rPr>
          <w:sz w:val="28"/>
        </w:rPr>
        <w:t xml:space="preserve">вимог щодо </w:t>
      </w:r>
      <w:r w:rsidR="00D84D90">
        <w:rPr>
          <w:sz w:val="28"/>
        </w:rPr>
        <w:t xml:space="preserve">фінансової прозорості, встановлення законодавчих правил оприлюднення звітності про фінансування електронних ЗМІ та наділення Національної ради України з питань телебачення і радіомовлення повноваженнями по контролю та перевірці достовірності наданих відомостей. </w:t>
      </w:r>
    </w:p>
    <w:p w:rsidR="001317EC" w:rsidRPr="00932651" w:rsidRDefault="001317EC" w:rsidP="001317EC">
      <w:pPr>
        <w:spacing w:before="120"/>
        <w:ind w:firstLine="709"/>
        <w:jc w:val="both"/>
        <w:rPr>
          <w:b/>
          <w:sz w:val="28"/>
        </w:rPr>
      </w:pPr>
      <w:r w:rsidRPr="00932651">
        <w:rPr>
          <w:b/>
          <w:sz w:val="28"/>
        </w:rPr>
        <w:lastRenderedPageBreak/>
        <w:t>3. Загальна характеристика та основні положення акту</w:t>
      </w:r>
    </w:p>
    <w:p w:rsidR="001317EC" w:rsidRDefault="001317EC" w:rsidP="001317EC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Законопроектом пропонується:</w:t>
      </w:r>
    </w:p>
    <w:p w:rsidR="00D84D90" w:rsidRDefault="001317EC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- </w:t>
      </w:r>
      <w:r w:rsidR="00811B51">
        <w:rPr>
          <w:sz w:val="28"/>
        </w:rPr>
        <w:t xml:space="preserve">встановити, що телерадіоорганізації щороку до 30 квітня подають до Національної ради та оприлюднюють на власних веб-сайтах звіт про фінансову прозорість; </w:t>
      </w:r>
    </w:p>
    <w:p w:rsidR="00811B51" w:rsidRDefault="00811B51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- </w:t>
      </w:r>
      <w:r w:rsidR="00CC695D">
        <w:rPr>
          <w:sz w:val="28"/>
        </w:rPr>
        <w:t>закріпити основні положення, що мають міститись в розкритій мовника</w:t>
      </w:r>
      <w:r w:rsidR="00D8539C">
        <w:rPr>
          <w:sz w:val="28"/>
        </w:rPr>
        <w:t>ми інформації про фінансування (</w:t>
      </w:r>
      <w:r w:rsidR="006A491E">
        <w:rPr>
          <w:sz w:val="28"/>
        </w:rPr>
        <w:t xml:space="preserve">відомості про всі кредити і позики, відомості про кредиторську заборгованість, </w:t>
      </w:r>
      <w:r w:rsidR="00B275D9">
        <w:rPr>
          <w:sz w:val="28"/>
        </w:rPr>
        <w:t xml:space="preserve">інформацію про всіх інвесторів та </w:t>
      </w:r>
      <w:r w:rsidR="00B275D9">
        <w:rPr>
          <w:sz w:val="28"/>
        </w:rPr>
        <w:t xml:space="preserve">найбільших </w:t>
      </w:r>
      <w:r w:rsidR="00B275D9">
        <w:rPr>
          <w:sz w:val="28"/>
        </w:rPr>
        <w:t>контрагентів тощо);</w:t>
      </w:r>
    </w:p>
    <w:p w:rsidR="00B275D9" w:rsidRDefault="00C7761B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- наділити Національну раду повноваженнями контролювати правильність та повноту оприлюднених даних та застосовувати відповідні заходи реагування;</w:t>
      </w:r>
    </w:p>
    <w:p w:rsidR="00C7761B" w:rsidRDefault="00C7761B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- </w:t>
      </w:r>
      <w:r w:rsidR="00DF219F">
        <w:rPr>
          <w:sz w:val="28"/>
        </w:rPr>
        <w:t>визначити гарантії, за якими суб’єкт інформаційної діяльності не може притягатись до відповідальності</w:t>
      </w:r>
      <w:bookmarkStart w:id="0" w:name="_GoBack"/>
      <w:bookmarkEnd w:id="0"/>
      <w:r w:rsidR="00DF219F">
        <w:rPr>
          <w:sz w:val="28"/>
        </w:rPr>
        <w:t xml:space="preserve">, якщо </w:t>
      </w:r>
      <w:r w:rsidR="004364CD">
        <w:rPr>
          <w:sz w:val="28"/>
        </w:rPr>
        <w:t xml:space="preserve">йому не надали можливість </w:t>
      </w:r>
      <w:r w:rsidR="00C27E4C">
        <w:rPr>
          <w:sz w:val="28"/>
        </w:rPr>
        <w:t>прийняти участь в розгляді відповідного питання</w:t>
      </w:r>
      <w:r w:rsidR="00B22738">
        <w:rPr>
          <w:sz w:val="28"/>
        </w:rPr>
        <w:t>;</w:t>
      </w:r>
    </w:p>
    <w:p w:rsidR="00B22738" w:rsidRDefault="00B22738" w:rsidP="006B7B79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- запровадити </w:t>
      </w:r>
      <w:r w:rsidR="008F60B3">
        <w:rPr>
          <w:sz w:val="28"/>
        </w:rPr>
        <w:t>обмеження в</w:t>
      </w:r>
      <w:r w:rsidR="00507E82">
        <w:rPr>
          <w:sz w:val="28"/>
        </w:rPr>
        <w:t xml:space="preserve"> застосуванні штрафних санкцій в частині забезпечення балансу </w:t>
      </w:r>
      <w:r w:rsidR="00507E82" w:rsidRPr="00507E82">
        <w:rPr>
          <w:sz w:val="28"/>
        </w:rPr>
        <w:t>між будь-якими несприятливими наслідками для прав, свобод та інтересів ліцензіата і цілями, на досягнення яких спрямоване відповідне рішення</w:t>
      </w:r>
      <w:r w:rsidR="00507E82">
        <w:rPr>
          <w:sz w:val="28"/>
        </w:rPr>
        <w:t>, як то передбачено Кодексом адміністративного судочинства України.</w:t>
      </w:r>
    </w:p>
    <w:p w:rsidR="00B63A9C" w:rsidRPr="00CC5E25" w:rsidRDefault="00B63A9C" w:rsidP="00B63A9C">
      <w:pPr>
        <w:spacing w:before="120"/>
        <w:ind w:firstLine="709"/>
        <w:jc w:val="both"/>
        <w:rPr>
          <w:b/>
          <w:sz w:val="28"/>
        </w:rPr>
      </w:pPr>
      <w:r w:rsidRPr="00CC5E25">
        <w:rPr>
          <w:b/>
          <w:sz w:val="28"/>
        </w:rPr>
        <w:t>4. Стан нормативно-правової бази у даній сфері правового регулювання</w:t>
      </w:r>
    </w:p>
    <w:p w:rsidR="00B63A9C" w:rsidRDefault="00B63A9C" w:rsidP="00B63A9C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В цій сфері діють такі закони України та міжнародні договори:</w:t>
      </w:r>
    </w:p>
    <w:p w:rsidR="00B63A9C" w:rsidRDefault="00B63A9C" w:rsidP="00B63A9C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- Конституція України;</w:t>
      </w:r>
    </w:p>
    <w:p w:rsidR="00B63A9C" w:rsidRDefault="00B63A9C" w:rsidP="00B63A9C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- Закон України «Про </w:t>
      </w:r>
      <w:r w:rsidR="00507E82">
        <w:rPr>
          <w:sz w:val="28"/>
        </w:rPr>
        <w:t>телебачення і радіомовлення</w:t>
      </w:r>
      <w:r>
        <w:rPr>
          <w:sz w:val="28"/>
        </w:rPr>
        <w:t>»;</w:t>
      </w:r>
    </w:p>
    <w:p w:rsidR="00B63A9C" w:rsidRDefault="00B63A9C" w:rsidP="00B63A9C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- Закон України «Про </w:t>
      </w:r>
      <w:r w:rsidR="00507E82">
        <w:rPr>
          <w:sz w:val="28"/>
        </w:rPr>
        <w:t>Національну раду України з питань телебачення і радіомовлення</w:t>
      </w:r>
      <w:r>
        <w:rPr>
          <w:sz w:val="28"/>
        </w:rPr>
        <w:t>»;</w:t>
      </w:r>
    </w:p>
    <w:p w:rsidR="00EB3F0A" w:rsidRPr="00DC1076" w:rsidRDefault="00EB3F0A" w:rsidP="00EB3F0A">
      <w:pPr>
        <w:spacing w:before="120"/>
        <w:ind w:firstLine="709"/>
        <w:jc w:val="both"/>
        <w:rPr>
          <w:b/>
          <w:sz w:val="28"/>
        </w:rPr>
      </w:pPr>
      <w:r w:rsidRPr="00DC1076">
        <w:rPr>
          <w:b/>
          <w:sz w:val="28"/>
        </w:rPr>
        <w:t>5.</w:t>
      </w:r>
      <w:r w:rsidRPr="00DC1076">
        <w:rPr>
          <w:b/>
          <w:sz w:val="28"/>
          <w:lang w:val="en-US"/>
        </w:rPr>
        <w:t> </w:t>
      </w:r>
      <w:r w:rsidRPr="00DC1076">
        <w:rPr>
          <w:b/>
          <w:sz w:val="28"/>
        </w:rPr>
        <w:t>Обґрунтування очікуваних соціально-економічних наслідків прийняття законопроекту</w:t>
      </w:r>
    </w:p>
    <w:p w:rsidR="00EB3F0A" w:rsidRDefault="00EB3F0A" w:rsidP="00EB3F0A">
      <w:pPr>
        <w:spacing w:before="120"/>
        <w:ind w:firstLine="709"/>
        <w:jc w:val="both"/>
        <w:rPr>
          <w:sz w:val="28"/>
        </w:rPr>
      </w:pPr>
      <w:r w:rsidRPr="00DC1076">
        <w:rPr>
          <w:sz w:val="28"/>
        </w:rPr>
        <w:t xml:space="preserve">Прийняття законопроекту сприятиме </w:t>
      </w:r>
      <w:r w:rsidR="00A132DB">
        <w:rPr>
          <w:sz w:val="28"/>
        </w:rPr>
        <w:t xml:space="preserve">зменшенню впливу </w:t>
      </w:r>
      <w:r w:rsidR="00BF24DB">
        <w:rPr>
          <w:sz w:val="28"/>
        </w:rPr>
        <w:t xml:space="preserve">на інформаційну політику телерадіоорганізацій, підвищенню </w:t>
      </w:r>
      <w:r w:rsidR="001F7E9A">
        <w:rPr>
          <w:sz w:val="28"/>
        </w:rPr>
        <w:t xml:space="preserve">прозорості ринку електронних ЗМІ та створенню </w:t>
      </w:r>
      <w:r w:rsidR="00540304">
        <w:rPr>
          <w:sz w:val="28"/>
        </w:rPr>
        <w:t xml:space="preserve">ефективних </w:t>
      </w:r>
      <w:r w:rsidR="001F7E9A">
        <w:rPr>
          <w:sz w:val="28"/>
        </w:rPr>
        <w:t xml:space="preserve">передумов для </w:t>
      </w:r>
      <w:r w:rsidR="00FD48BF">
        <w:rPr>
          <w:sz w:val="28"/>
        </w:rPr>
        <w:t>недопущення</w:t>
      </w:r>
      <w:r w:rsidR="00540304">
        <w:rPr>
          <w:sz w:val="28"/>
        </w:rPr>
        <w:t xml:space="preserve"> цензури та забезпеченню свободи слова</w:t>
      </w:r>
      <w:r w:rsidR="00E846B7">
        <w:rPr>
          <w:sz w:val="28"/>
        </w:rPr>
        <w:t xml:space="preserve">. </w:t>
      </w:r>
    </w:p>
    <w:p w:rsidR="00EB3F0A" w:rsidRDefault="00EB3F0A" w:rsidP="00EB3F0A">
      <w:pPr>
        <w:spacing w:before="120"/>
        <w:ind w:firstLine="709"/>
        <w:jc w:val="both"/>
        <w:rPr>
          <w:b/>
          <w:sz w:val="28"/>
        </w:rPr>
      </w:pPr>
      <w:r>
        <w:rPr>
          <w:b/>
          <w:sz w:val="28"/>
        </w:rPr>
        <w:t>6.</w:t>
      </w:r>
      <w:r w:rsidRPr="00F7150F">
        <w:rPr>
          <w:b/>
          <w:sz w:val="28"/>
        </w:rPr>
        <w:t> Обґрунтування очікуваних правових наслідків прийняття законопроекту</w:t>
      </w:r>
    </w:p>
    <w:p w:rsidR="00AB628B" w:rsidRDefault="00EB3F0A" w:rsidP="00EB3F0A">
      <w:pPr>
        <w:spacing w:before="120"/>
        <w:ind w:firstLine="709"/>
        <w:jc w:val="both"/>
        <w:rPr>
          <w:sz w:val="28"/>
        </w:rPr>
      </w:pPr>
      <w:r w:rsidRPr="00934784">
        <w:rPr>
          <w:sz w:val="28"/>
        </w:rPr>
        <w:t>Прийня</w:t>
      </w:r>
      <w:r>
        <w:rPr>
          <w:sz w:val="28"/>
        </w:rPr>
        <w:t xml:space="preserve">ття законопроекту матиме своїм наслідком створення правового механізму та врегулювання </w:t>
      </w:r>
      <w:r w:rsidR="00E0123D">
        <w:rPr>
          <w:sz w:val="28"/>
        </w:rPr>
        <w:t xml:space="preserve">питань фінансової прозорості електронних засобів масової інформації, а також забезпечення свободи слова. </w:t>
      </w:r>
    </w:p>
    <w:p w:rsidR="00EB3F0A" w:rsidRPr="00140821" w:rsidRDefault="00EB3F0A" w:rsidP="00EB3F0A">
      <w:pPr>
        <w:spacing w:before="120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7. </w:t>
      </w:r>
      <w:r w:rsidRPr="00140821">
        <w:rPr>
          <w:b/>
          <w:sz w:val="28"/>
        </w:rPr>
        <w:t>Фінансово – економічне обґрунтування</w:t>
      </w:r>
    </w:p>
    <w:p w:rsidR="00EB3F0A" w:rsidRDefault="00EB3F0A" w:rsidP="00EB3F0A">
      <w:pPr>
        <w:spacing w:before="120"/>
        <w:ind w:firstLine="709"/>
        <w:jc w:val="both"/>
        <w:rPr>
          <w:sz w:val="28"/>
        </w:rPr>
      </w:pPr>
      <w:r w:rsidRPr="00140821">
        <w:rPr>
          <w:sz w:val="28"/>
        </w:rPr>
        <w:t xml:space="preserve">Прийняття </w:t>
      </w:r>
      <w:r>
        <w:rPr>
          <w:sz w:val="28"/>
        </w:rPr>
        <w:t xml:space="preserve">та впровадження </w:t>
      </w:r>
      <w:r w:rsidRPr="00140821">
        <w:rPr>
          <w:sz w:val="28"/>
        </w:rPr>
        <w:t>Закону не потребує додаткових витрат з Державного бюджету України.</w:t>
      </w:r>
    </w:p>
    <w:p w:rsidR="00EB3F0A" w:rsidRDefault="00EB3F0A" w:rsidP="00EB3F0A">
      <w:pPr>
        <w:spacing w:before="240"/>
        <w:jc w:val="both"/>
        <w:rPr>
          <w:b/>
          <w:bCs/>
          <w:sz w:val="28"/>
          <w:szCs w:val="28"/>
        </w:rPr>
      </w:pPr>
    </w:p>
    <w:p w:rsidR="00EB3F0A" w:rsidRDefault="001F7169" w:rsidP="001F7169">
      <w:pPr>
        <w:spacing w:before="120"/>
        <w:jc w:val="both"/>
        <w:rPr>
          <w:sz w:val="28"/>
        </w:rPr>
      </w:pPr>
      <w:r>
        <w:rPr>
          <w:sz w:val="28"/>
        </w:rPr>
        <w:t xml:space="preserve">Народний депутат України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М.Л. КНЯЖИЦЬКИЙ</w:t>
      </w:r>
    </w:p>
    <w:p w:rsidR="001F7169" w:rsidRPr="00CF7BCA" w:rsidRDefault="001F7169" w:rsidP="004517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7B2">
        <w:rPr>
          <w:sz w:val="28"/>
        </w:rPr>
        <w:t>(</w:t>
      </w:r>
      <w:proofErr w:type="spellStart"/>
      <w:r w:rsidR="004517B2">
        <w:rPr>
          <w:sz w:val="28"/>
        </w:rPr>
        <w:t>посв</w:t>
      </w:r>
      <w:proofErr w:type="spellEnd"/>
      <w:r w:rsidR="004517B2">
        <w:rPr>
          <w:sz w:val="28"/>
        </w:rPr>
        <w:t>. №034)</w:t>
      </w:r>
    </w:p>
    <w:sectPr w:rsidR="001F7169" w:rsidRPr="00CF7B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4F" w:rsidRDefault="0080204F" w:rsidP="001317EC">
      <w:r>
        <w:separator/>
      </w:r>
    </w:p>
  </w:endnote>
  <w:endnote w:type="continuationSeparator" w:id="0">
    <w:p w:rsidR="0080204F" w:rsidRDefault="0080204F" w:rsidP="0013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408225"/>
      <w:docPartObj>
        <w:docPartGallery w:val="Page Numbers (Bottom of Page)"/>
        <w:docPartUnique/>
      </w:docPartObj>
    </w:sdtPr>
    <w:sdtEndPr/>
    <w:sdtContent>
      <w:p w:rsidR="001317EC" w:rsidRDefault="001317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496" w:rsidRPr="00284496">
          <w:rPr>
            <w:noProof/>
            <w:lang w:val="ru-RU"/>
          </w:rPr>
          <w:t>3</w:t>
        </w:r>
        <w:r>
          <w:fldChar w:fldCharType="end"/>
        </w:r>
      </w:p>
    </w:sdtContent>
  </w:sdt>
  <w:p w:rsidR="001317EC" w:rsidRDefault="001317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4F" w:rsidRDefault="0080204F" w:rsidP="001317EC">
      <w:r>
        <w:separator/>
      </w:r>
    </w:p>
  </w:footnote>
  <w:footnote w:type="continuationSeparator" w:id="0">
    <w:p w:rsidR="0080204F" w:rsidRDefault="0080204F" w:rsidP="0013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B"/>
    <w:rsid w:val="0006538F"/>
    <w:rsid w:val="00086B87"/>
    <w:rsid w:val="000A49FB"/>
    <w:rsid w:val="000E4C0F"/>
    <w:rsid w:val="001317EC"/>
    <w:rsid w:val="0017549A"/>
    <w:rsid w:val="001E562E"/>
    <w:rsid w:val="001F7169"/>
    <w:rsid w:val="001F7E9A"/>
    <w:rsid w:val="00265598"/>
    <w:rsid w:val="00284496"/>
    <w:rsid w:val="00291E0A"/>
    <w:rsid w:val="003614CC"/>
    <w:rsid w:val="004364CD"/>
    <w:rsid w:val="004517B2"/>
    <w:rsid w:val="004B5051"/>
    <w:rsid w:val="00507E82"/>
    <w:rsid w:val="00540304"/>
    <w:rsid w:val="00646356"/>
    <w:rsid w:val="006A491E"/>
    <w:rsid w:val="006A6E43"/>
    <w:rsid w:val="006B7B79"/>
    <w:rsid w:val="00743DF4"/>
    <w:rsid w:val="007A0588"/>
    <w:rsid w:val="007F2BA9"/>
    <w:rsid w:val="0080204F"/>
    <w:rsid w:val="00811B51"/>
    <w:rsid w:val="00822B46"/>
    <w:rsid w:val="00831920"/>
    <w:rsid w:val="0084250A"/>
    <w:rsid w:val="008A5A04"/>
    <w:rsid w:val="008F60B3"/>
    <w:rsid w:val="00910F5B"/>
    <w:rsid w:val="009847DF"/>
    <w:rsid w:val="009F07D4"/>
    <w:rsid w:val="00A132DB"/>
    <w:rsid w:val="00A85F1A"/>
    <w:rsid w:val="00AB628B"/>
    <w:rsid w:val="00AB7191"/>
    <w:rsid w:val="00AE5D3B"/>
    <w:rsid w:val="00B22738"/>
    <w:rsid w:val="00B275D9"/>
    <w:rsid w:val="00B63A9C"/>
    <w:rsid w:val="00BE3567"/>
    <w:rsid w:val="00BF24DB"/>
    <w:rsid w:val="00BF38F1"/>
    <w:rsid w:val="00C27E4C"/>
    <w:rsid w:val="00C66D84"/>
    <w:rsid w:val="00C7761B"/>
    <w:rsid w:val="00CC695D"/>
    <w:rsid w:val="00CC70F0"/>
    <w:rsid w:val="00CE441D"/>
    <w:rsid w:val="00CF7BCA"/>
    <w:rsid w:val="00D208CF"/>
    <w:rsid w:val="00D730D8"/>
    <w:rsid w:val="00D82637"/>
    <w:rsid w:val="00D84D90"/>
    <w:rsid w:val="00D8539C"/>
    <w:rsid w:val="00DF219F"/>
    <w:rsid w:val="00E0123D"/>
    <w:rsid w:val="00E846B7"/>
    <w:rsid w:val="00EB3F0A"/>
    <w:rsid w:val="00EF69AC"/>
    <w:rsid w:val="00F2273F"/>
    <w:rsid w:val="00FC739E"/>
    <w:rsid w:val="00FD48BF"/>
    <w:rsid w:val="00FE4C7C"/>
    <w:rsid w:val="00FE672E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3D26-92F4-40D2-8416-3C9B5AC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79"/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7EC"/>
    <w:rPr>
      <w:rFonts w:eastAsia="Times New Roman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1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7EC"/>
    <w:rPr>
      <w:rFonts w:eastAsia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44</cp:revision>
  <dcterms:created xsi:type="dcterms:W3CDTF">2018-06-18T11:06:00Z</dcterms:created>
  <dcterms:modified xsi:type="dcterms:W3CDTF">2018-06-18T12:50:00Z</dcterms:modified>
</cp:coreProperties>
</file>