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07" w:rsidRDefault="00504C33">
      <w:pPr>
        <w:tabs>
          <w:tab w:val="left" w:pos="6132"/>
        </w:tabs>
        <w:ind w:left="6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реєстр</w:t>
      </w:r>
      <w:proofErr w:type="spellEnd"/>
      <w:r>
        <w:rPr>
          <w:sz w:val="28"/>
          <w:szCs w:val="28"/>
        </w:rPr>
        <w:t xml:space="preserve">. № 1014 </w:t>
      </w:r>
    </w:p>
    <w:p w:rsidR="007C5C07" w:rsidRDefault="00504C33">
      <w:pPr>
        <w:tabs>
          <w:tab w:val="left" w:pos="6132"/>
        </w:tabs>
        <w:ind w:left="61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29.08.2019</w:t>
      </w:r>
    </w:p>
    <w:p w:rsidR="007C5C07" w:rsidRDefault="007C5C07">
      <w:pPr>
        <w:tabs>
          <w:tab w:val="left" w:pos="6132"/>
        </w:tabs>
        <w:rPr>
          <w:sz w:val="28"/>
          <w:szCs w:val="28"/>
        </w:rPr>
      </w:pPr>
    </w:p>
    <w:p w:rsidR="007C5C07" w:rsidRDefault="007C5C07">
      <w:pPr>
        <w:tabs>
          <w:tab w:val="left" w:pos="6132"/>
        </w:tabs>
        <w:rPr>
          <w:sz w:val="28"/>
          <w:szCs w:val="28"/>
        </w:rPr>
      </w:pPr>
    </w:p>
    <w:p w:rsidR="007C5C07" w:rsidRDefault="007C5C07">
      <w:pPr>
        <w:tabs>
          <w:tab w:val="left" w:pos="6132"/>
        </w:tabs>
        <w:rPr>
          <w:sz w:val="28"/>
          <w:szCs w:val="28"/>
        </w:rPr>
      </w:pPr>
    </w:p>
    <w:p w:rsidR="007C5C07" w:rsidRDefault="007C5C07">
      <w:pPr>
        <w:tabs>
          <w:tab w:val="left" w:pos="6132"/>
        </w:tabs>
        <w:rPr>
          <w:sz w:val="28"/>
          <w:szCs w:val="28"/>
        </w:rPr>
      </w:pPr>
    </w:p>
    <w:p w:rsidR="007C5C07" w:rsidRDefault="007C5C07">
      <w:pPr>
        <w:tabs>
          <w:tab w:val="left" w:pos="6132"/>
        </w:tabs>
        <w:rPr>
          <w:sz w:val="28"/>
          <w:szCs w:val="28"/>
        </w:rPr>
      </w:pPr>
    </w:p>
    <w:p w:rsidR="007C5C07" w:rsidRDefault="007C5C07">
      <w:pPr>
        <w:tabs>
          <w:tab w:val="left" w:pos="6132"/>
        </w:tabs>
        <w:rPr>
          <w:sz w:val="28"/>
          <w:szCs w:val="28"/>
        </w:rPr>
      </w:pPr>
    </w:p>
    <w:p w:rsidR="007C5C07" w:rsidRDefault="00504C33">
      <w:pPr>
        <w:tabs>
          <w:tab w:val="left" w:pos="61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ВИСНОВОК</w:t>
      </w:r>
    </w:p>
    <w:p w:rsidR="007C5C07" w:rsidRDefault="00504C33">
      <w:pPr>
        <w:tabs>
          <w:tab w:val="left" w:pos="6132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</w:p>
    <w:p w:rsidR="007C5C07" w:rsidRDefault="00504C33">
      <w:pPr>
        <w:tabs>
          <w:tab w:val="left" w:pos="61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антикорупційної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експертизи</w:t>
      </w:r>
      <w:proofErr w:type="spellEnd"/>
    </w:p>
    <w:p w:rsidR="007C5C07" w:rsidRDefault="00504C33">
      <w:pPr>
        <w:tabs>
          <w:tab w:val="left" w:pos="61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проекту нормативно-правового акта</w:t>
      </w:r>
    </w:p>
    <w:p w:rsidR="007C5C07" w:rsidRDefault="007C5C07">
      <w:pPr>
        <w:tabs>
          <w:tab w:val="left" w:pos="6132"/>
        </w:tabs>
        <w:rPr>
          <w:rFonts w:ascii="Arial" w:eastAsia="Arial" w:hAnsi="Arial" w:cs="Arial"/>
          <w:sz w:val="18"/>
          <w:szCs w:val="18"/>
        </w:rPr>
      </w:pPr>
    </w:p>
    <w:p w:rsidR="007C5C07" w:rsidRDefault="007C5C07">
      <w:pPr>
        <w:tabs>
          <w:tab w:val="left" w:pos="6132"/>
        </w:tabs>
        <w:rPr>
          <w:rFonts w:ascii="Arial" w:eastAsia="Arial" w:hAnsi="Arial" w:cs="Arial"/>
          <w:sz w:val="18"/>
          <w:szCs w:val="18"/>
        </w:rPr>
      </w:pPr>
    </w:p>
    <w:p w:rsidR="007C5C07" w:rsidRDefault="00504C33">
      <w:pPr>
        <w:tabs>
          <w:tab w:val="left" w:pos="6132"/>
        </w:tabs>
        <w:ind w:left="72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Назва</w:t>
      </w:r>
      <w:proofErr w:type="spellEnd"/>
      <w:r>
        <w:rPr>
          <w:rFonts w:ascii="Arial" w:hAnsi="Arial"/>
          <w:sz w:val="22"/>
          <w:szCs w:val="22"/>
        </w:rPr>
        <w:t xml:space="preserve"> проекту акта: проект Закону про </w:t>
      </w:r>
      <w:proofErr w:type="spellStart"/>
      <w:r>
        <w:rPr>
          <w:rFonts w:ascii="Arial" w:hAnsi="Arial"/>
          <w:sz w:val="22"/>
          <w:szCs w:val="22"/>
        </w:rPr>
        <w:t>внесення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змін</w:t>
      </w:r>
      <w:proofErr w:type="spellEnd"/>
      <w:r>
        <w:rPr>
          <w:rFonts w:ascii="Arial" w:hAnsi="Arial"/>
          <w:sz w:val="22"/>
          <w:szCs w:val="22"/>
        </w:rPr>
        <w:t xml:space="preserve"> до «Про </w:t>
      </w:r>
      <w:proofErr w:type="spellStart"/>
      <w:r>
        <w:rPr>
          <w:rFonts w:ascii="Arial" w:hAnsi="Arial"/>
          <w:sz w:val="22"/>
          <w:szCs w:val="22"/>
        </w:rPr>
        <w:t>внесення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змін</w:t>
      </w:r>
      <w:proofErr w:type="spellEnd"/>
      <w:r>
        <w:rPr>
          <w:rFonts w:ascii="Arial" w:hAnsi="Arial"/>
          <w:sz w:val="22"/>
          <w:szCs w:val="22"/>
        </w:rPr>
        <w:t xml:space="preserve"> до </w:t>
      </w:r>
      <w:proofErr w:type="spellStart"/>
      <w:r>
        <w:rPr>
          <w:rFonts w:ascii="Arial" w:hAnsi="Arial"/>
          <w:sz w:val="22"/>
          <w:szCs w:val="22"/>
        </w:rPr>
        <w:t>статті</w:t>
      </w:r>
      <w:proofErr w:type="spellEnd"/>
      <w:r>
        <w:rPr>
          <w:rFonts w:ascii="Arial" w:hAnsi="Arial"/>
          <w:sz w:val="22"/>
          <w:szCs w:val="22"/>
        </w:rPr>
        <w:t xml:space="preserve"> 106 </w:t>
      </w:r>
      <w:proofErr w:type="spellStart"/>
      <w:r>
        <w:rPr>
          <w:rFonts w:ascii="Arial" w:hAnsi="Arial"/>
          <w:sz w:val="22"/>
          <w:szCs w:val="22"/>
        </w:rPr>
        <w:t>Конституції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України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щодо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закріплення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повноважень</w:t>
      </w:r>
      <w:proofErr w:type="spellEnd"/>
      <w:r>
        <w:rPr>
          <w:rFonts w:ascii="Arial" w:hAnsi="Arial"/>
          <w:sz w:val="22"/>
          <w:szCs w:val="22"/>
        </w:rPr>
        <w:t xml:space="preserve"> Президента </w:t>
      </w:r>
      <w:proofErr w:type="spellStart"/>
      <w:r>
        <w:rPr>
          <w:rFonts w:ascii="Arial" w:hAnsi="Arial"/>
          <w:sz w:val="22"/>
          <w:szCs w:val="22"/>
        </w:rPr>
        <w:t>України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утворювати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незалежні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регуляторні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органи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Національне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антикорупційне</w:t>
      </w:r>
      <w:proofErr w:type="spellEnd"/>
      <w:r>
        <w:rPr>
          <w:rFonts w:ascii="Arial" w:hAnsi="Arial"/>
          <w:sz w:val="22"/>
          <w:szCs w:val="22"/>
        </w:rPr>
        <w:t xml:space="preserve"> бюро </w:t>
      </w:r>
      <w:proofErr w:type="spellStart"/>
      <w:r>
        <w:rPr>
          <w:rFonts w:ascii="Arial" w:hAnsi="Arial"/>
          <w:sz w:val="22"/>
          <w:szCs w:val="22"/>
        </w:rPr>
        <w:t>України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призначати</w:t>
      </w:r>
      <w:proofErr w:type="spellEnd"/>
      <w:r>
        <w:rPr>
          <w:rFonts w:ascii="Arial" w:hAnsi="Arial"/>
          <w:sz w:val="22"/>
          <w:szCs w:val="22"/>
        </w:rPr>
        <w:t xml:space="preserve"> на посади та </w:t>
      </w:r>
      <w:proofErr w:type="spellStart"/>
      <w:r>
        <w:rPr>
          <w:rFonts w:ascii="Arial" w:hAnsi="Arial"/>
          <w:sz w:val="22"/>
          <w:szCs w:val="22"/>
        </w:rPr>
        <w:t>звільняти</w:t>
      </w:r>
      <w:proofErr w:type="spellEnd"/>
      <w:r>
        <w:rPr>
          <w:rFonts w:ascii="Arial" w:hAnsi="Arial"/>
          <w:sz w:val="22"/>
          <w:szCs w:val="22"/>
        </w:rPr>
        <w:t xml:space="preserve"> з посад Директора </w:t>
      </w:r>
      <w:proofErr w:type="spellStart"/>
      <w:r>
        <w:rPr>
          <w:rFonts w:ascii="Arial" w:hAnsi="Arial"/>
          <w:sz w:val="22"/>
          <w:szCs w:val="22"/>
        </w:rPr>
        <w:t>Національного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антикорупційного</w:t>
      </w:r>
      <w:proofErr w:type="spellEnd"/>
      <w:r>
        <w:rPr>
          <w:rFonts w:ascii="Arial" w:hAnsi="Arial"/>
          <w:sz w:val="22"/>
          <w:szCs w:val="22"/>
        </w:rPr>
        <w:t xml:space="preserve"> бюро </w:t>
      </w:r>
      <w:proofErr w:type="spellStart"/>
      <w:r>
        <w:rPr>
          <w:rFonts w:ascii="Arial" w:hAnsi="Arial"/>
          <w:sz w:val="22"/>
          <w:szCs w:val="22"/>
        </w:rPr>
        <w:t>України</w:t>
      </w:r>
      <w:proofErr w:type="spellEnd"/>
      <w:r>
        <w:rPr>
          <w:rFonts w:ascii="Arial" w:hAnsi="Arial"/>
          <w:sz w:val="22"/>
          <w:szCs w:val="22"/>
        </w:rPr>
        <w:t xml:space="preserve"> і Директора Державного бюро </w:t>
      </w:r>
      <w:proofErr w:type="spellStart"/>
      <w:r>
        <w:rPr>
          <w:rFonts w:ascii="Arial" w:hAnsi="Arial"/>
          <w:sz w:val="22"/>
          <w:szCs w:val="22"/>
        </w:rPr>
        <w:t>розслідувань</w:t>
      </w:r>
      <w:proofErr w:type="spellEnd"/>
      <w:r>
        <w:rPr>
          <w:rFonts w:ascii="Arial" w:hAnsi="Arial"/>
          <w:sz w:val="22"/>
          <w:szCs w:val="22"/>
        </w:rPr>
        <w:t>)».</w:t>
      </w:r>
    </w:p>
    <w:p w:rsidR="007C5C07" w:rsidRDefault="007C5C07">
      <w:pPr>
        <w:tabs>
          <w:tab w:val="left" w:pos="6132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7C5C07" w:rsidRDefault="007C5C07">
      <w:pPr>
        <w:tabs>
          <w:tab w:val="left" w:pos="6132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7C5C07" w:rsidRDefault="00504C33">
      <w:pPr>
        <w:tabs>
          <w:tab w:val="left" w:pos="6132"/>
        </w:tabs>
        <w:ind w:left="72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Реєстр</w:t>
      </w:r>
      <w:proofErr w:type="spellEnd"/>
      <w:r>
        <w:rPr>
          <w:rFonts w:ascii="Arial" w:hAnsi="Arial"/>
          <w:sz w:val="22"/>
          <w:szCs w:val="22"/>
        </w:rPr>
        <w:t xml:space="preserve">. № 1014 </w:t>
      </w:r>
      <w:proofErr w:type="spellStart"/>
      <w:r>
        <w:rPr>
          <w:rFonts w:ascii="Arial" w:hAnsi="Arial"/>
          <w:sz w:val="22"/>
          <w:szCs w:val="22"/>
        </w:rPr>
        <w:t>від</w:t>
      </w:r>
      <w:proofErr w:type="spellEnd"/>
      <w:r>
        <w:rPr>
          <w:rFonts w:ascii="Arial" w:hAnsi="Arial"/>
          <w:sz w:val="22"/>
          <w:szCs w:val="22"/>
        </w:rPr>
        <w:t xml:space="preserve"> 29.08.2019.</w:t>
      </w:r>
    </w:p>
    <w:p w:rsidR="007C5C07" w:rsidRDefault="007C5C07">
      <w:pPr>
        <w:tabs>
          <w:tab w:val="left" w:pos="6132"/>
        </w:tabs>
        <w:spacing w:after="120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7C5C07" w:rsidRDefault="00504C33">
      <w:pPr>
        <w:tabs>
          <w:tab w:val="left" w:pos="6132"/>
        </w:tabs>
        <w:ind w:left="72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Суб’єкт</w:t>
      </w:r>
      <w:proofErr w:type="spellEnd"/>
      <w:r>
        <w:rPr>
          <w:rFonts w:ascii="Arial" w:hAnsi="Arial"/>
          <w:sz w:val="22"/>
          <w:szCs w:val="22"/>
        </w:rPr>
        <w:t xml:space="preserve"> права </w:t>
      </w:r>
      <w:proofErr w:type="spellStart"/>
      <w:r>
        <w:rPr>
          <w:rFonts w:ascii="Arial" w:hAnsi="Arial"/>
          <w:sz w:val="22"/>
          <w:szCs w:val="22"/>
        </w:rPr>
        <w:t>законодавчої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ініціативи</w:t>
      </w:r>
      <w:proofErr w:type="spellEnd"/>
      <w:r>
        <w:rPr>
          <w:rFonts w:ascii="Arial" w:hAnsi="Arial"/>
          <w:sz w:val="22"/>
          <w:szCs w:val="22"/>
        </w:rPr>
        <w:t xml:space="preserve">: Президент </w:t>
      </w:r>
      <w:proofErr w:type="spellStart"/>
      <w:r>
        <w:rPr>
          <w:rFonts w:ascii="Arial" w:hAnsi="Arial"/>
          <w:sz w:val="22"/>
          <w:szCs w:val="22"/>
        </w:rPr>
        <w:t>України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7C5C07" w:rsidRDefault="007C5C07">
      <w:pPr>
        <w:tabs>
          <w:tab w:val="left" w:pos="6132"/>
        </w:tabs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7C5C07" w:rsidRDefault="00504C33">
      <w:pPr>
        <w:shd w:val="clear" w:color="auto" w:fill="FFFFFF"/>
        <w:tabs>
          <w:tab w:val="left" w:pos="6132"/>
        </w:tabs>
        <w:spacing w:after="360" w:line="193" w:lineRule="atLeast"/>
        <w:ind w:left="72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Головний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комітет</w:t>
      </w:r>
      <w:proofErr w:type="spellEnd"/>
      <w:r>
        <w:rPr>
          <w:rFonts w:ascii="Arial" w:hAnsi="Arial"/>
          <w:sz w:val="22"/>
          <w:szCs w:val="22"/>
        </w:rPr>
        <w:t xml:space="preserve"> з </w:t>
      </w:r>
      <w:proofErr w:type="spellStart"/>
      <w:r>
        <w:rPr>
          <w:rFonts w:ascii="Arial" w:hAnsi="Arial"/>
          <w:sz w:val="22"/>
          <w:szCs w:val="22"/>
        </w:rPr>
        <w:t>підготовки</w:t>
      </w:r>
      <w:proofErr w:type="spellEnd"/>
      <w:r>
        <w:rPr>
          <w:rFonts w:ascii="Arial" w:hAnsi="Arial"/>
          <w:sz w:val="22"/>
          <w:szCs w:val="22"/>
        </w:rPr>
        <w:t xml:space="preserve"> і </w:t>
      </w:r>
      <w:proofErr w:type="spellStart"/>
      <w:r>
        <w:rPr>
          <w:rFonts w:ascii="Arial" w:hAnsi="Arial"/>
          <w:sz w:val="22"/>
          <w:szCs w:val="22"/>
        </w:rPr>
        <w:t>попереднього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розгляду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 xml:space="preserve"> Комітет з питань </w:t>
      </w:r>
      <w:proofErr w:type="spellStart"/>
      <w:r>
        <w:rPr>
          <w:rFonts w:ascii="Arial" w:hAnsi="Arial"/>
          <w:sz w:val="22"/>
          <w:szCs w:val="22"/>
        </w:rPr>
        <w:t>правової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політики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7C5C07" w:rsidRPr="00E4394B" w:rsidRDefault="00D32BB2">
      <w:pPr>
        <w:tabs>
          <w:tab w:val="left" w:pos="6132"/>
        </w:tabs>
        <w:ind w:firstLine="720"/>
        <w:jc w:val="both"/>
        <w:rPr>
          <w:color w:val="auto"/>
        </w:rPr>
      </w:pPr>
      <w:r w:rsidRPr="00E4394B">
        <w:rPr>
          <w:color w:val="auto"/>
          <w:sz w:val="28"/>
          <w:szCs w:val="28"/>
          <w:u w:val="single"/>
          <w:lang w:val="uk-UA"/>
        </w:rPr>
        <w:t>У проекті акт</w:t>
      </w:r>
      <w:r w:rsidR="00504C33" w:rsidRPr="00E4394B">
        <w:rPr>
          <w:color w:val="auto"/>
          <w:sz w:val="28"/>
          <w:szCs w:val="28"/>
          <w:u w:val="single"/>
        </w:rPr>
        <w:t>а</w:t>
      </w:r>
      <w:r w:rsidRPr="00E4394B">
        <w:rPr>
          <w:color w:val="auto"/>
          <w:sz w:val="28"/>
          <w:szCs w:val="28"/>
          <w:u w:val="single"/>
          <w:lang w:val="uk-UA"/>
        </w:rPr>
        <w:t xml:space="preserve"> не виявлено </w:t>
      </w:r>
      <w:proofErr w:type="spellStart"/>
      <w:r w:rsidRPr="00E4394B">
        <w:rPr>
          <w:color w:val="auto"/>
          <w:sz w:val="28"/>
          <w:szCs w:val="28"/>
          <w:u w:val="single"/>
          <w:lang w:val="uk-UA"/>
        </w:rPr>
        <w:t>корупціогенних</w:t>
      </w:r>
      <w:proofErr w:type="spellEnd"/>
      <w:r w:rsidRPr="00E4394B">
        <w:rPr>
          <w:color w:val="auto"/>
          <w:sz w:val="28"/>
          <w:szCs w:val="28"/>
          <w:u w:val="single"/>
          <w:lang w:val="uk-UA"/>
        </w:rPr>
        <w:t xml:space="preserve"> факторів – проект </w:t>
      </w:r>
      <w:proofErr w:type="spellStart"/>
      <w:r w:rsidRPr="00E4394B">
        <w:rPr>
          <w:color w:val="auto"/>
          <w:sz w:val="28"/>
          <w:szCs w:val="28"/>
          <w:u w:val="single"/>
          <w:lang w:val="uk-UA"/>
        </w:rPr>
        <w:t>акта</w:t>
      </w:r>
      <w:proofErr w:type="spellEnd"/>
      <w:r w:rsidR="00504C33" w:rsidRPr="00E4394B">
        <w:rPr>
          <w:color w:val="auto"/>
          <w:sz w:val="28"/>
          <w:szCs w:val="28"/>
          <w:u w:val="single"/>
        </w:rPr>
        <w:t xml:space="preserve"> </w:t>
      </w:r>
      <w:proofErr w:type="spellStart"/>
      <w:r w:rsidR="00504C33" w:rsidRPr="00E4394B">
        <w:rPr>
          <w:color w:val="auto"/>
          <w:sz w:val="28"/>
          <w:szCs w:val="28"/>
          <w:u w:val="single"/>
        </w:rPr>
        <w:t>відповідає</w:t>
      </w:r>
      <w:proofErr w:type="spellEnd"/>
      <w:r w:rsidR="00504C33" w:rsidRPr="00E4394B">
        <w:rPr>
          <w:color w:val="auto"/>
          <w:sz w:val="28"/>
          <w:szCs w:val="28"/>
          <w:u w:val="single"/>
        </w:rPr>
        <w:t xml:space="preserve"> </w:t>
      </w:r>
      <w:proofErr w:type="spellStart"/>
      <w:r w:rsidR="00504C33" w:rsidRPr="00E4394B">
        <w:rPr>
          <w:color w:val="auto"/>
          <w:sz w:val="28"/>
          <w:szCs w:val="28"/>
          <w:u w:val="single"/>
        </w:rPr>
        <w:t>вимогам</w:t>
      </w:r>
      <w:proofErr w:type="spellEnd"/>
      <w:r w:rsidR="00504C33" w:rsidRPr="00E4394B">
        <w:rPr>
          <w:color w:val="auto"/>
          <w:sz w:val="28"/>
          <w:szCs w:val="28"/>
          <w:u w:val="single"/>
        </w:rPr>
        <w:t xml:space="preserve"> </w:t>
      </w:r>
      <w:proofErr w:type="spellStart"/>
      <w:r w:rsidR="00504C33" w:rsidRPr="00E4394B">
        <w:rPr>
          <w:color w:val="auto"/>
          <w:sz w:val="28"/>
          <w:szCs w:val="28"/>
          <w:u w:val="single"/>
        </w:rPr>
        <w:t>антикорупційного</w:t>
      </w:r>
      <w:proofErr w:type="spellEnd"/>
      <w:r w:rsidR="00504C33" w:rsidRPr="00E4394B">
        <w:rPr>
          <w:color w:val="auto"/>
          <w:sz w:val="28"/>
          <w:szCs w:val="28"/>
          <w:u w:val="single"/>
        </w:rPr>
        <w:t xml:space="preserve"> </w:t>
      </w:r>
      <w:proofErr w:type="spellStart"/>
      <w:r w:rsidR="00504C33" w:rsidRPr="00E4394B">
        <w:rPr>
          <w:color w:val="auto"/>
          <w:sz w:val="28"/>
          <w:szCs w:val="28"/>
          <w:u w:val="single"/>
        </w:rPr>
        <w:t>законодавства</w:t>
      </w:r>
      <w:proofErr w:type="spellEnd"/>
      <w:r w:rsidR="00504C33" w:rsidRPr="00E4394B">
        <w:rPr>
          <w:color w:val="auto"/>
          <w:sz w:val="28"/>
          <w:szCs w:val="28"/>
          <w:u w:val="single"/>
        </w:rPr>
        <w:t xml:space="preserve"> </w:t>
      </w:r>
      <w:r w:rsidR="00504C33" w:rsidRPr="00E4394B">
        <w:rPr>
          <w:color w:val="auto"/>
          <w:sz w:val="28"/>
          <w:szCs w:val="28"/>
        </w:rPr>
        <w:t>(</w:t>
      </w:r>
      <w:proofErr w:type="spellStart"/>
      <w:r w:rsidR="00504C33" w:rsidRPr="00E4394B">
        <w:rPr>
          <w:color w:val="auto"/>
          <w:sz w:val="28"/>
          <w:szCs w:val="28"/>
        </w:rPr>
        <w:t>рішення</w:t>
      </w:r>
      <w:proofErr w:type="spellEnd"/>
      <w:r w:rsidR="00504C33" w:rsidRPr="00E4394B">
        <w:rPr>
          <w:color w:val="auto"/>
          <w:sz w:val="28"/>
          <w:szCs w:val="28"/>
        </w:rPr>
        <w:t xml:space="preserve"> </w:t>
      </w:r>
      <w:proofErr w:type="spellStart"/>
      <w:r w:rsidR="00504C33" w:rsidRPr="00E4394B">
        <w:rPr>
          <w:color w:val="auto"/>
          <w:sz w:val="28"/>
          <w:szCs w:val="28"/>
        </w:rPr>
        <w:t>Комітету</w:t>
      </w:r>
      <w:proofErr w:type="spellEnd"/>
      <w:r w:rsidR="00504C33" w:rsidRPr="00E4394B">
        <w:rPr>
          <w:color w:val="auto"/>
          <w:sz w:val="28"/>
          <w:szCs w:val="28"/>
        </w:rPr>
        <w:t xml:space="preserve"> </w:t>
      </w:r>
      <w:proofErr w:type="spellStart"/>
      <w:r w:rsidR="00504C33" w:rsidRPr="00E4394B">
        <w:rPr>
          <w:color w:val="auto"/>
          <w:sz w:val="28"/>
          <w:szCs w:val="28"/>
        </w:rPr>
        <w:t>від</w:t>
      </w:r>
      <w:proofErr w:type="spellEnd"/>
      <w:r w:rsidR="00504C33" w:rsidRPr="00E4394B">
        <w:rPr>
          <w:color w:val="auto"/>
          <w:sz w:val="28"/>
          <w:szCs w:val="28"/>
        </w:rPr>
        <w:t xml:space="preserve"> </w:t>
      </w:r>
      <w:r w:rsidRPr="00E4394B">
        <w:rPr>
          <w:color w:val="auto"/>
          <w:sz w:val="28"/>
          <w:szCs w:val="28"/>
          <w:lang w:val="uk-UA"/>
        </w:rPr>
        <w:t>04</w:t>
      </w:r>
      <w:r w:rsidR="00504C33" w:rsidRPr="00E4394B">
        <w:rPr>
          <w:color w:val="auto"/>
          <w:sz w:val="28"/>
          <w:szCs w:val="28"/>
        </w:rPr>
        <w:t xml:space="preserve"> </w:t>
      </w:r>
      <w:proofErr w:type="spellStart"/>
      <w:r w:rsidR="00504C33" w:rsidRPr="00E4394B">
        <w:rPr>
          <w:color w:val="auto"/>
          <w:sz w:val="28"/>
          <w:szCs w:val="28"/>
        </w:rPr>
        <w:t>вересня</w:t>
      </w:r>
      <w:proofErr w:type="spellEnd"/>
      <w:r w:rsidR="00504C33" w:rsidRPr="00E4394B">
        <w:rPr>
          <w:color w:val="auto"/>
          <w:sz w:val="28"/>
          <w:szCs w:val="28"/>
        </w:rPr>
        <w:t xml:space="preserve"> 2019 року, протокол № </w:t>
      </w:r>
      <w:r w:rsidRPr="00E4394B">
        <w:rPr>
          <w:color w:val="auto"/>
          <w:sz w:val="28"/>
          <w:szCs w:val="28"/>
          <w:lang w:val="uk-UA"/>
        </w:rPr>
        <w:t>2</w:t>
      </w:r>
      <w:r w:rsidR="00504C33" w:rsidRPr="00E4394B">
        <w:rPr>
          <w:color w:val="auto"/>
          <w:sz w:val="28"/>
          <w:szCs w:val="28"/>
        </w:rPr>
        <w:t>).</w:t>
      </w:r>
    </w:p>
    <w:p w:rsidR="007C5C07" w:rsidRDefault="00504C33">
      <w:pPr>
        <w:shd w:val="clear" w:color="auto" w:fill="FFFFFF"/>
        <w:tabs>
          <w:tab w:val="left" w:pos="6132"/>
        </w:tabs>
        <w:spacing w:before="100" w:after="100"/>
        <w:ind w:firstLine="567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пояснювальної</w:t>
      </w:r>
      <w:proofErr w:type="spellEnd"/>
      <w:r>
        <w:rPr>
          <w:sz w:val="28"/>
          <w:szCs w:val="28"/>
        </w:rPr>
        <w:t xml:space="preserve"> записки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закріпити</w:t>
      </w:r>
      <w:proofErr w:type="spellEnd"/>
      <w:r>
        <w:rPr>
          <w:sz w:val="28"/>
          <w:szCs w:val="28"/>
        </w:rPr>
        <w:t xml:space="preserve"> за Президентом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bookmarkStart w:id="0" w:name="_DdeLink__7592_282282886"/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бюро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на посади та </w:t>
      </w:r>
      <w:proofErr w:type="spellStart"/>
      <w:r>
        <w:rPr>
          <w:sz w:val="28"/>
          <w:szCs w:val="28"/>
        </w:rPr>
        <w:t>звільнення</w:t>
      </w:r>
      <w:proofErr w:type="spellEnd"/>
      <w:r>
        <w:rPr>
          <w:sz w:val="28"/>
          <w:szCs w:val="28"/>
        </w:rPr>
        <w:t xml:space="preserve"> з посад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, Директора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бюро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Директора Державного бюро </w:t>
      </w:r>
      <w:proofErr w:type="spellStart"/>
      <w:r>
        <w:rPr>
          <w:sz w:val="28"/>
          <w:szCs w:val="28"/>
        </w:rPr>
        <w:t>розслідувань</w:t>
      </w:r>
      <w:bookmarkEnd w:id="0"/>
      <w:proofErr w:type="spellEnd"/>
      <w:r>
        <w:rPr>
          <w:sz w:val="28"/>
          <w:szCs w:val="28"/>
        </w:rPr>
        <w:t>.</w:t>
      </w:r>
      <w:r w:rsidRPr="0039269E">
        <w:rPr>
          <w:sz w:val="28"/>
          <w:szCs w:val="28"/>
        </w:rPr>
        <w:t xml:space="preserve"> </w:t>
      </w:r>
    </w:p>
    <w:p w:rsidR="007C5C07" w:rsidRDefault="00504C33">
      <w:pPr>
        <w:shd w:val="clear" w:color="auto" w:fill="FFFFFF"/>
        <w:tabs>
          <w:tab w:val="left" w:pos="6132"/>
        </w:tabs>
        <w:spacing w:before="100" w:after="100"/>
        <w:ind w:firstLine="567"/>
        <w:jc w:val="both"/>
        <w:outlineLvl w:val="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Проект акту </w:t>
      </w:r>
      <w:proofErr w:type="spellStart"/>
      <w:r>
        <w:rPr>
          <w:sz w:val="28"/>
          <w:szCs w:val="28"/>
        </w:rPr>
        <w:t>пропонує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частину</w:t>
      </w:r>
      <w:proofErr w:type="spellEnd"/>
      <w:r>
        <w:rPr>
          <w:sz w:val="28"/>
          <w:szCs w:val="28"/>
        </w:rPr>
        <w:t xml:space="preserve"> першу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106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новим</w:t>
      </w:r>
      <w:proofErr w:type="spellEnd"/>
      <w:r>
        <w:rPr>
          <w:sz w:val="28"/>
          <w:szCs w:val="28"/>
        </w:rPr>
        <w:t xml:space="preserve"> пунктом 12-1,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надається</w:t>
      </w:r>
      <w:proofErr w:type="spellEnd"/>
      <w:r>
        <w:rPr>
          <w:b/>
          <w:bCs/>
          <w:sz w:val="28"/>
          <w:szCs w:val="28"/>
        </w:rPr>
        <w:t xml:space="preserve"> право Президенту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утворювати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незалежні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регуляторні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органи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що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здійснюють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державне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регулювання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моніторинг</w:t>
      </w:r>
      <w:proofErr w:type="spellEnd"/>
      <w:r>
        <w:rPr>
          <w:sz w:val="28"/>
          <w:szCs w:val="28"/>
          <w:u w:val="single"/>
        </w:rPr>
        <w:t xml:space="preserve"> та контроль за </w:t>
      </w:r>
      <w:proofErr w:type="spellStart"/>
      <w:r>
        <w:rPr>
          <w:sz w:val="28"/>
          <w:szCs w:val="28"/>
          <w:u w:val="single"/>
        </w:rPr>
        <w:t>діяльністю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суб’єктів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господарювання</w:t>
      </w:r>
      <w:proofErr w:type="spellEnd"/>
      <w:r>
        <w:rPr>
          <w:b/>
          <w:bCs/>
          <w:sz w:val="28"/>
          <w:szCs w:val="28"/>
          <w:u w:val="single"/>
        </w:rPr>
        <w:t xml:space="preserve"> в </w:t>
      </w:r>
      <w:proofErr w:type="spellStart"/>
      <w:r>
        <w:rPr>
          <w:b/>
          <w:bCs/>
          <w:sz w:val="28"/>
          <w:szCs w:val="28"/>
          <w:u w:val="single"/>
        </w:rPr>
        <w:t>окремих</w:t>
      </w:r>
      <w:proofErr w:type="spellEnd"/>
      <w:r>
        <w:rPr>
          <w:b/>
          <w:bCs/>
          <w:sz w:val="28"/>
          <w:szCs w:val="28"/>
          <w:u w:val="single"/>
        </w:rPr>
        <w:t xml:space="preserve"> сферах</w:t>
      </w:r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призначати</w:t>
      </w:r>
      <w:proofErr w:type="spellEnd"/>
      <w:r>
        <w:rPr>
          <w:sz w:val="28"/>
          <w:szCs w:val="28"/>
          <w:u w:val="single"/>
        </w:rPr>
        <w:t xml:space="preserve"> на посади та </w:t>
      </w:r>
      <w:proofErr w:type="spellStart"/>
      <w:r>
        <w:rPr>
          <w:sz w:val="28"/>
          <w:szCs w:val="28"/>
          <w:u w:val="single"/>
        </w:rPr>
        <w:t>звільняти</w:t>
      </w:r>
      <w:proofErr w:type="spellEnd"/>
      <w:r>
        <w:rPr>
          <w:sz w:val="28"/>
          <w:szCs w:val="28"/>
          <w:u w:val="single"/>
        </w:rPr>
        <w:t xml:space="preserve"> з посад </w:t>
      </w:r>
      <w:proofErr w:type="spellStart"/>
      <w:r>
        <w:rPr>
          <w:sz w:val="28"/>
          <w:szCs w:val="28"/>
          <w:u w:val="single"/>
        </w:rPr>
        <w:t>їх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членів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у порядку</w:t>
      </w:r>
      <w:proofErr w:type="gram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визначеному</w:t>
      </w:r>
      <w:proofErr w:type="spellEnd"/>
      <w:r>
        <w:rPr>
          <w:sz w:val="28"/>
          <w:szCs w:val="28"/>
          <w:u w:val="single"/>
        </w:rPr>
        <w:t xml:space="preserve"> законами </w:t>
      </w:r>
      <w:proofErr w:type="spellStart"/>
      <w:r>
        <w:rPr>
          <w:sz w:val="28"/>
          <w:szCs w:val="28"/>
          <w:u w:val="single"/>
        </w:rPr>
        <w:t>України</w:t>
      </w:r>
      <w:proofErr w:type="spellEnd"/>
      <w:r>
        <w:rPr>
          <w:sz w:val="28"/>
          <w:szCs w:val="28"/>
          <w:u w:val="single"/>
        </w:rPr>
        <w:t>.</w:t>
      </w:r>
    </w:p>
    <w:p w:rsidR="007C5C07" w:rsidRDefault="00504C33">
      <w:pPr>
        <w:shd w:val="clear" w:color="auto" w:fill="FFFFFF"/>
        <w:tabs>
          <w:tab w:val="left" w:pos="6132"/>
        </w:tabs>
        <w:spacing w:before="100" w:after="100"/>
        <w:ind w:firstLine="567"/>
        <w:jc w:val="both"/>
        <w:outlineLvl w:val="2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звернути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чинної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bookmarkStart w:id="1" w:name="o2"/>
      <w:bookmarkEnd w:id="1"/>
      <w:proofErr w:type="spellEnd"/>
      <w:r>
        <w:rPr>
          <w:sz w:val="28"/>
          <w:szCs w:val="28"/>
        </w:rPr>
        <w:t xml:space="preserve"> «Про засади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</w:rPr>
        <w:t>регуляторним</w:t>
      </w:r>
      <w:proofErr w:type="spellEnd"/>
      <w:r>
        <w:rPr>
          <w:b/>
          <w:bCs/>
          <w:sz w:val="28"/>
          <w:szCs w:val="28"/>
        </w:rPr>
        <w:t xml:space="preserve"> органом є - </w:t>
      </w:r>
      <w:proofErr w:type="spellStart"/>
      <w:r>
        <w:rPr>
          <w:b/>
          <w:bCs/>
          <w:sz w:val="28"/>
          <w:szCs w:val="28"/>
        </w:rPr>
        <w:t>Верховна</w:t>
      </w:r>
      <w:proofErr w:type="spellEnd"/>
      <w:r>
        <w:rPr>
          <w:b/>
          <w:bCs/>
          <w:sz w:val="28"/>
          <w:szCs w:val="28"/>
        </w:rPr>
        <w:t xml:space="preserve"> Рада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, Президент </w:t>
      </w:r>
      <w:r>
        <w:rPr>
          <w:rFonts w:ascii="Arial Unicode MS" w:hAnsi="Arial Unicode MS"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Кабінет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Міністрів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Національний</w:t>
      </w:r>
      <w:proofErr w:type="spellEnd"/>
      <w:r>
        <w:rPr>
          <w:b/>
          <w:bCs/>
          <w:sz w:val="28"/>
          <w:szCs w:val="28"/>
        </w:rPr>
        <w:t xml:space="preserve"> банк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lastRenderedPageBreak/>
        <w:t>Національна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 питань </w:t>
      </w:r>
      <w:proofErr w:type="spellStart"/>
      <w:r>
        <w:rPr>
          <w:sz w:val="28"/>
          <w:szCs w:val="28"/>
        </w:rPr>
        <w:t>телебачення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радіомовлення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інший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орган, </w:t>
      </w:r>
      <w:proofErr w:type="spellStart"/>
      <w:r>
        <w:rPr>
          <w:sz w:val="28"/>
          <w:szCs w:val="28"/>
        </w:rPr>
        <w:t>центральний</w:t>
      </w:r>
      <w:proofErr w:type="spellEnd"/>
      <w:r>
        <w:rPr>
          <w:sz w:val="28"/>
          <w:szCs w:val="28"/>
        </w:rPr>
        <w:t xml:space="preserve"> орган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r>
        <w:rPr>
          <w:rFonts w:ascii="Arial Unicode MS" w:hAnsi="Arial Unicode MS"/>
          <w:sz w:val="28"/>
          <w:szCs w:val="28"/>
        </w:rPr>
        <w:br/>
      </w:r>
      <w:proofErr w:type="spellStart"/>
      <w:r>
        <w:rPr>
          <w:sz w:val="28"/>
          <w:szCs w:val="28"/>
        </w:rPr>
        <w:t>Верховна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Автономної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</w:t>
      </w:r>
      <w:proofErr w:type="spellEnd"/>
      <w:r>
        <w:rPr>
          <w:sz w:val="28"/>
          <w:szCs w:val="28"/>
        </w:rPr>
        <w:t xml:space="preserve">, Рада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br/>
      </w:r>
      <w:proofErr w:type="spellStart"/>
      <w:r>
        <w:rPr>
          <w:sz w:val="28"/>
          <w:szCs w:val="28"/>
        </w:rPr>
        <w:t>Автономної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місцевий</w:t>
      </w:r>
      <w:proofErr w:type="spellEnd"/>
      <w:r>
        <w:rPr>
          <w:sz w:val="28"/>
          <w:szCs w:val="28"/>
        </w:rPr>
        <w:t xml:space="preserve"> орган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орган </w:t>
      </w:r>
      <w:r>
        <w:rPr>
          <w:rFonts w:ascii="Arial Unicode MS" w:hAnsi="Arial Unicode MS"/>
          <w:sz w:val="28"/>
          <w:szCs w:val="28"/>
        </w:rPr>
        <w:br/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посадова</w:t>
      </w:r>
      <w:proofErr w:type="spellEnd"/>
      <w:r>
        <w:rPr>
          <w:sz w:val="28"/>
          <w:szCs w:val="28"/>
        </w:rPr>
        <w:t xml:space="preserve"> особа будь-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br/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ця</w:t>
      </w:r>
      <w:proofErr w:type="spellEnd"/>
      <w:r>
        <w:rPr>
          <w:sz w:val="28"/>
          <w:szCs w:val="28"/>
        </w:rPr>
        <w:t xml:space="preserve"> особа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br/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одноособово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. До </w:t>
      </w:r>
      <w:r>
        <w:rPr>
          <w:rFonts w:ascii="Arial Unicode MS" w:hAnsi="Arial Unicode MS"/>
          <w:sz w:val="28"/>
          <w:szCs w:val="28"/>
        </w:rPr>
        <w:br/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належать </w:t>
      </w:r>
      <w:proofErr w:type="spellStart"/>
      <w:r>
        <w:rPr>
          <w:sz w:val="28"/>
          <w:szCs w:val="28"/>
        </w:rPr>
        <w:t>територіальні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br/>
      </w:r>
      <w:proofErr w:type="spellStart"/>
      <w:r>
        <w:rPr>
          <w:sz w:val="28"/>
          <w:szCs w:val="28"/>
        </w:rPr>
        <w:t>центральних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спеціалізовані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 xml:space="preserve">установи та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некомерційні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br/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окремими</w:t>
      </w:r>
      <w:proofErr w:type="spellEnd"/>
      <w:r>
        <w:rPr>
          <w:sz w:val="28"/>
          <w:szCs w:val="28"/>
        </w:rPr>
        <w:t xml:space="preserve"> видами </w:t>
      </w:r>
      <w:r>
        <w:rPr>
          <w:rFonts w:ascii="Arial Unicode MS" w:hAnsi="Arial Unicode MS"/>
          <w:sz w:val="28"/>
          <w:szCs w:val="28"/>
        </w:rPr>
        <w:br/>
      </w:r>
      <w:proofErr w:type="spellStart"/>
      <w:r>
        <w:rPr>
          <w:sz w:val="28"/>
          <w:szCs w:val="28"/>
        </w:rPr>
        <w:t>загальнообов'язкового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br/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, установи та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 Unicode MS" w:hAnsi="Arial Unicode MS"/>
          <w:sz w:val="28"/>
          <w:szCs w:val="28"/>
        </w:rPr>
        <w:br/>
      </w:r>
      <w:proofErr w:type="spellStart"/>
      <w:r>
        <w:rPr>
          <w:sz w:val="28"/>
          <w:szCs w:val="28"/>
        </w:rPr>
        <w:t>приймають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>.</w:t>
      </w:r>
    </w:p>
    <w:p w:rsidR="007C5C07" w:rsidRDefault="00504C33">
      <w:pPr>
        <w:shd w:val="clear" w:color="auto" w:fill="FFFFFF"/>
        <w:tabs>
          <w:tab w:val="left" w:pos="6132"/>
        </w:tabs>
        <w:spacing w:before="100" w:after="10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вищевикладене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незрозуміло</w:t>
      </w:r>
      <w:proofErr w:type="spellEnd"/>
      <w:r>
        <w:rPr>
          <w:sz w:val="28"/>
          <w:szCs w:val="28"/>
        </w:rPr>
        <w:t xml:space="preserve">, про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незалежні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йдеться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законопроекті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діяльністю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 і в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сферах» </w:t>
      </w:r>
      <w:proofErr w:type="spellStart"/>
      <w:r>
        <w:rPr>
          <w:sz w:val="28"/>
          <w:szCs w:val="28"/>
        </w:rPr>
        <w:t>матимуть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моніторинг</w:t>
      </w:r>
      <w:proofErr w:type="spellEnd"/>
      <w:r>
        <w:rPr>
          <w:sz w:val="28"/>
          <w:szCs w:val="28"/>
        </w:rPr>
        <w:t xml:space="preserve"> та контроль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. </w:t>
      </w:r>
    </w:p>
    <w:p w:rsidR="007C5C07" w:rsidRDefault="00504C33">
      <w:pPr>
        <w:shd w:val="clear" w:color="auto" w:fill="FFFFFF"/>
        <w:tabs>
          <w:tab w:val="left" w:pos="6132"/>
        </w:tabs>
        <w:ind w:firstLine="567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пов’язано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вживанням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незалежні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», яке не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доцільним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незалежний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регуляторний</w:t>
      </w:r>
      <w:proofErr w:type="spellEnd"/>
      <w:r>
        <w:rPr>
          <w:sz w:val="28"/>
          <w:szCs w:val="28"/>
        </w:rPr>
        <w:t xml:space="preserve"> орган», </w:t>
      </w:r>
      <w:proofErr w:type="spellStart"/>
      <w:r>
        <w:rPr>
          <w:sz w:val="28"/>
          <w:szCs w:val="28"/>
        </w:rPr>
        <w:t>внісши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. </w:t>
      </w:r>
    </w:p>
    <w:p w:rsidR="0083457B" w:rsidRPr="0083457B" w:rsidRDefault="00504C33" w:rsidP="0083457B">
      <w:pPr>
        <w:pStyle w:val="gmail-p1"/>
        <w:spacing w:before="0" w:beforeAutospacing="0" w:after="75" w:afterAutospacing="0"/>
        <w:ind w:firstLine="426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викладене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пропонованій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нового пункту 12-1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106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окреслює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 w:rsidRPr="0083457B">
        <w:rPr>
          <w:sz w:val="28"/>
          <w:szCs w:val="28"/>
        </w:rPr>
        <w:t xml:space="preserve">, </w:t>
      </w:r>
      <w:r w:rsidR="00D32BB2" w:rsidRPr="0083457B">
        <w:rPr>
          <w:sz w:val="28"/>
          <w:szCs w:val="28"/>
        </w:rPr>
        <w:t>після вирішення питання про відповідність Конституції України Конституційним судом України, доцільно</w:t>
      </w:r>
      <w:r w:rsidR="00E4394B">
        <w:rPr>
          <w:sz w:val="28"/>
          <w:szCs w:val="28"/>
        </w:rPr>
        <w:t>,</w:t>
      </w:r>
      <w:r w:rsidR="00D32BB2" w:rsidRPr="0083457B">
        <w:rPr>
          <w:sz w:val="28"/>
          <w:szCs w:val="28"/>
        </w:rPr>
        <w:t xml:space="preserve"> </w:t>
      </w:r>
      <w:r w:rsidR="0083457B" w:rsidRPr="0083457B">
        <w:rPr>
          <w:rStyle w:val="gmail-s2"/>
          <w:sz w:val="28"/>
          <w:szCs w:val="28"/>
        </w:rPr>
        <w:t xml:space="preserve">з урахуванням висновку Конституційного суду розглянути можливість </w:t>
      </w:r>
      <w:r w:rsidR="0083457B" w:rsidRPr="0083457B">
        <w:rPr>
          <w:rStyle w:val="gmail-s3"/>
          <w:b/>
          <w:bCs/>
          <w:sz w:val="28"/>
          <w:szCs w:val="28"/>
          <w:u w:val="single"/>
        </w:rPr>
        <w:t>уточнити в нормі законопроекту перелік таких незалежних регуляторних органів, які можуть створюватися Президентом України, а також передбачити створення Президентом таких органів у порядку, визначеному законом. </w:t>
      </w:r>
    </w:p>
    <w:p w:rsidR="007C5C07" w:rsidRDefault="00504C33">
      <w:pPr>
        <w:shd w:val="clear" w:color="auto" w:fill="FFFFFF"/>
        <w:tabs>
          <w:tab w:val="left" w:pos="6132"/>
        </w:tabs>
        <w:spacing w:before="100" w:after="100"/>
        <w:ind w:firstLine="567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того,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уточнити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законопроекту. </w:t>
      </w:r>
    </w:p>
    <w:p w:rsidR="007C5C07" w:rsidRDefault="00504C33">
      <w:pPr>
        <w:numPr>
          <w:ilvl w:val="0"/>
          <w:numId w:val="2"/>
        </w:numPr>
        <w:shd w:val="clear" w:color="auto" w:fill="FFFFFF"/>
        <w:spacing w:before="100" w:after="10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Директора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бюро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Директора Державного бюро </w:t>
      </w:r>
      <w:proofErr w:type="spellStart"/>
      <w:r>
        <w:rPr>
          <w:sz w:val="28"/>
          <w:szCs w:val="28"/>
        </w:rPr>
        <w:t>розслідувань</w:t>
      </w:r>
      <w:proofErr w:type="spellEnd"/>
      <w:r>
        <w:rPr>
          <w:sz w:val="28"/>
          <w:szCs w:val="28"/>
        </w:rPr>
        <w:t xml:space="preserve">. Проект акта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Президенту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на посади </w:t>
      </w:r>
      <w:proofErr w:type="spellStart"/>
      <w:r>
        <w:rPr>
          <w:sz w:val="28"/>
          <w:szCs w:val="28"/>
        </w:rPr>
        <w:t>вказаних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порядку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визначеному</w:t>
      </w:r>
      <w:proofErr w:type="spellEnd"/>
      <w:r>
        <w:rPr>
          <w:sz w:val="28"/>
          <w:szCs w:val="28"/>
        </w:rPr>
        <w:t xml:space="preserve">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Закон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D47654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Націонал</w:t>
      </w:r>
      <w:r w:rsidR="00D47654">
        <w:rPr>
          <w:sz w:val="28"/>
          <w:szCs w:val="28"/>
        </w:rPr>
        <w:t>ьне</w:t>
      </w:r>
      <w:proofErr w:type="spellEnd"/>
      <w:r w:rsidR="00D47654">
        <w:rPr>
          <w:sz w:val="28"/>
          <w:szCs w:val="28"/>
        </w:rPr>
        <w:t xml:space="preserve"> </w:t>
      </w:r>
      <w:proofErr w:type="spellStart"/>
      <w:r w:rsidR="00D47654">
        <w:rPr>
          <w:sz w:val="28"/>
          <w:szCs w:val="28"/>
        </w:rPr>
        <w:t>антикорупційне</w:t>
      </w:r>
      <w:proofErr w:type="spellEnd"/>
      <w:r w:rsidR="00D47654">
        <w:rPr>
          <w:sz w:val="28"/>
          <w:szCs w:val="28"/>
        </w:rPr>
        <w:t xml:space="preserve"> бюро </w:t>
      </w:r>
      <w:proofErr w:type="spellStart"/>
      <w:r w:rsidR="00D47654">
        <w:rPr>
          <w:sz w:val="28"/>
          <w:szCs w:val="28"/>
        </w:rPr>
        <w:t>України</w:t>
      </w:r>
      <w:proofErr w:type="spellEnd"/>
      <w:r w:rsidR="00D47654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та Закон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39269E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бюро </w:t>
      </w:r>
      <w:proofErr w:type="spellStart"/>
      <w:r>
        <w:rPr>
          <w:sz w:val="28"/>
          <w:szCs w:val="28"/>
        </w:rPr>
        <w:t>розслідувань</w:t>
      </w:r>
      <w:proofErr w:type="spellEnd"/>
      <w:r w:rsidR="0039269E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конкурсний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закріплення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норм на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</w:t>
      </w:r>
      <w:r w:rsidR="00D47654">
        <w:rPr>
          <w:sz w:val="28"/>
          <w:szCs w:val="28"/>
          <w:lang w:val="uk-UA"/>
        </w:rPr>
        <w:t>нормами</w:t>
      </w:r>
      <w:r w:rsidR="00D47654">
        <w:rPr>
          <w:sz w:val="28"/>
          <w:szCs w:val="28"/>
        </w:rPr>
        <w:t xml:space="preserve"> ново</w:t>
      </w:r>
      <w:r w:rsidR="00D47654">
        <w:rPr>
          <w:sz w:val="28"/>
          <w:szCs w:val="28"/>
          <w:lang w:val="uk-UA"/>
        </w:rPr>
        <w:t>го</w:t>
      </w:r>
      <w:r>
        <w:rPr>
          <w:sz w:val="28"/>
          <w:szCs w:val="28"/>
        </w:rPr>
        <w:t xml:space="preserve"> пункт</w:t>
      </w:r>
      <w:r w:rsidR="00D47654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11-1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106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на посади на </w:t>
      </w:r>
      <w:proofErr w:type="spellStart"/>
      <w:r>
        <w:rPr>
          <w:sz w:val="28"/>
          <w:szCs w:val="28"/>
        </w:rPr>
        <w:t>конкурсних</w:t>
      </w:r>
      <w:proofErr w:type="spellEnd"/>
      <w:r>
        <w:rPr>
          <w:sz w:val="28"/>
          <w:szCs w:val="28"/>
        </w:rPr>
        <w:t xml:space="preserve"> засадах </w:t>
      </w:r>
      <w:proofErr w:type="gramStart"/>
      <w:r>
        <w:rPr>
          <w:sz w:val="28"/>
          <w:szCs w:val="28"/>
        </w:rPr>
        <w:t>у порядку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визначеному</w:t>
      </w:r>
      <w:proofErr w:type="spellEnd"/>
      <w:r>
        <w:rPr>
          <w:sz w:val="28"/>
          <w:szCs w:val="28"/>
        </w:rPr>
        <w:t xml:space="preserve">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7C5C07" w:rsidRPr="00E4394B" w:rsidRDefault="00504C33">
      <w:pPr>
        <w:numPr>
          <w:ilvl w:val="0"/>
          <w:numId w:val="2"/>
        </w:numPr>
        <w:shd w:val="clear" w:color="auto" w:fill="FFFFFF"/>
        <w:spacing w:before="100" w:after="100"/>
        <w:jc w:val="both"/>
        <w:outlineLvl w:val="2"/>
        <w:rPr>
          <w:color w:val="auto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Директора Державного бюро </w:t>
      </w:r>
      <w:proofErr w:type="spellStart"/>
      <w:r>
        <w:rPr>
          <w:sz w:val="28"/>
          <w:szCs w:val="28"/>
        </w:rPr>
        <w:t>розслідувань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47654">
        <w:rPr>
          <w:sz w:val="28"/>
          <w:szCs w:val="28"/>
        </w:rPr>
        <w:t>першої</w:t>
      </w:r>
      <w:proofErr w:type="spellEnd"/>
      <w:r w:rsidR="00D47654">
        <w:rPr>
          <w:sz w:val="28"/>
          <w:szCs w:val="28"/>
        </w:rPr>
        <w:t xml:space="preserve"> </w:t>
      </w:r>
      <w:proofErr w:type="spellStart"/>
      <w:r w:rsidR="00D47654">
        <w:rPr>
          <w:sz w:val="28"/>
          <w:szCs w:val="28"/>
        </w:rPr>
        <w:t>статті</w:t>
      </w:r>
      <w:proofErr w:type="spellEnd"/>
      <w:r w:rsidR="00D47654">
        <w:rPr>
          <w:sz w:val="28"/>
          <w:szCs w:val="28"/>
        </w:rPr>
        <w:t xml:space="preserve"> 1 Закону </w:t>
      </w:r>
      <w:proofErr w:type="spellStart"/>
      <w:r w:rsidR="00D47654">
        <w:rPr>
          <w:sz w:val="28"/>
          <w:szCs w:val="28"/>
        </w:rPr>
        <w:t>України</w:t>
      </w:r>
      <w:proofErr w:type="spellEnd"/>
      <w:r w:rsidR="00D47654">
        <w:rPr>
          <w:sz w:val="28"/>
          <w:szCs w:val="28"/>
        </w:rPr>
        <w:t xml:space="preserve"> </w:t>
      </w:r>
      <w:r w:rsidR="00D47654">
        <w:rPr>
          <w:sz w:val="28"/>
          <w:szCs w:val="28"/>
          <w:lang w:val="uk-UA"/>
        </w:rPr>
        <w:t>«</w:t>
      </w:r>
      <w:r w:rsidR="00D47654">
        <w:rPr>
          <w:sz w:val="28"/>
          <w:szCs w:val="28"/>
        </w:rPr>
        <w:t xml:space="preserve">Про </w:t>
      </w:r>
      <w:proofErr w:type="spellStart"/>
      <w:r w:rsidR="00D47654">
        <w:rPr>
          <w:sz w:val="28"/>
          <w:szCs w:val="28"/>
        </w:rPr>
        <w:t>Державне</w:t>
      </w:r>
      <w:proofErr w:type="spellEnd"/>
      <w:r w:rsidR="00D47654">
        <w:rPr>
          <w:sz w:val="28"/>
          <w:szCs w:val="28"/>
        </w:rPr>
        <w:t xml:space="preserve"> бюро </w:t>
      </w:r>
      <w:proofErr w:type="spellStart"/>
      <w:r w:rsidR="00D47654">
        <w:rPr>
          <w:sz w:val="28"/>
          <w:szCs w:val="28"/>
        </w:rPr>
        <w:t>рослідувань</w:t>
      </w:r>
      <w:proofErr w:type="spellEnd"/>
      <w:r w:rsidR="00D47654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орган є органом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правоохоронну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пунктом 9-2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116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призначає</w:t>
      </w:r>
      <w:proofErr w:type="spellEnd"/>
      <w:r>
        <w:rPr>
          <w:sz w:val="28"/>
          <w:szCs w:val="28"/>
        </w:rPr>
        <w:t xml:space="preserve"> на посади та </w:t>
      </w:r>
      <w:proofErr w:type="spellStart"/>
      <w:r>
        <w:rPr>
          <w:sz w:val="28"/>
          <w:szCs w:val="28"/>
        </w:rPr>
        <w:t>звільняє</w:t>
      </w:r>
      <w:proofErr w:type="spellEnd"/>
      <w:r>
        <w:rPr>
          <w:sz w:val="28"/>
          <w:szCs w:val="28"/>
        </w:rPr>
        <w:t xml:space="preserve"> з посад за </w:t>
      </w:r>
      <w:proofErr w:type="spellStart"/>
      <w:r>
        <w:rPr>
          <w:sz w:val="28"/>
          <w:szCs w:val="28"/>
        </w:rPr>
        <w:t>поданням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Прем’єр-міністра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Натомість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D47654">
        <w:rPr>
          <w:sz w:val="28"/>
          <w:szCs w:val="28"/>
        </w:rPr>
        <w:t>ершої</w:t>
      </w:r>
      <w:proofErr w:type="spellEnd"/>
      <w:r w:rsidR="00D47654">
        <w:rPr>
          <w:sz w:val="28"/>
          <w:szCs w:val="28"/>
        </w:rPr>
        <w:t xml:space="preserve"> </w:t>
      </w:r>
      <w:proofErr w:type="spellStart"/>
      <w:r w:rsidR="00D47654">
        <w:rPr>
          <w:sz w:val="28"/>
          <w:szCs w:val="28"/>
        </w:rPr>
        <w:t>статті</w:t>
      </w:r>
      <w:proofErr w:type="spellEnd"/>
      <w:r w:rsidR="00D47654">
        <w:rPr>
          <w:sz w:val="28"/>
          <w:szCs w:val="28"/>
        </w:rPr>
        <w:t xml:space="preserve"> 11 Закону </w:t>
      </w:r>
      <w:proofErr w:type="spellStart"/>
      <w:r w:rsidR="00D47654">
        <w:rPr>
          <w:sz w:val="28"/>
          <w:szCs w:val="28"/>
        </w:rPr>
        <w:t>України</w:t>
      </w:r>
      <w:proofErr w:type="spellEnd"/>
      <w:r w:rsidR="00D47654">
        <w:rPr>
          <w:sz w:val="28"/>
          <w:szCs w:val="28"/>
        </w:rPr>
        <w:t xml:space="preserve"> </w:t>
      </w:r>
      <w:r w:rsidR="00D47654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бюро </w:t>
      </w:r>
      <w:proofErr w:type="spellStart"/>
      <w:r>
        <w:rPr>
          <w:sz w:val="28"/>
          <w:szCs w:val="28"/>
        </w:rPr>
        <w:t>розслідувань</w:t>
      </w:r>
      <w:proofErr w:type="spellEnd"/>
      <w:r w:rsidR="00D47654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Директор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органу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посаду</w:t>
      </w:r>
      <w:proofErr w:type="gramEnd"/>
      <w:r>
        <w:rPr>
          <w:sz w:val="28"/>
          <w:szCs w:val="28"/>
        </w:rPr>
        <w:t xml:space="preserve"> Президентом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Прем’єр-міністра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Проект акту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</w:t>
      </w:r>
      <w:bookmarkStart w:id="2" w:name="_GoBack"/>
      <w:bookmarkEnd w:id="2"/>
      <w:r>
        <w:rPr>
          <w:sz w:val="28"/>
          <w:szCs w:val="28"/>
        </w:rPr>
        <w:t>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закріпити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посаду</w:t>
      </w:r>
      <w:proofErr w:type="gramEnd"/>
      <w:r>
        <w:rPr>
          <w:sz w:val="28"/>
          <w:szCs w:val="28"/>
        </w:rPr>
        <w:t xml:space="preserve"> Директора Державного бюро </w:t>
      </w:r>
      <w:proofErr w:type="spellStart"/>
      <w:r>
        <w:rPr>
          <w:sz w:val="28"/>
          <w:szCs w:val="28"/>
        </w:rPr>
        <w:t>розслідувань</w:t>
      </w:r>
      <w:proofErr w:type="spellEnd"/>
      <w:r>
        <w:rPr>
          <w:sz w:val="28"/>
          <w:szCs w:val="28"/>
        </w:rPr>
        <w:t xml:space="preserve"> за Президентом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Утім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колізія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</w:t>
      </w:r>
      <w:r w:rsidR="00D47654">
        <w:rPr>
          <w:sz w:val="28"/>
          <w:szCs w:val="28"/>
        </w:rPr>
        <w:t>ж</w:t>
      </w:r>
      <w:proofErr w:type="spellEnd"/>
      <w:r w:rsidR="00D47654">
        <w:rPr>
          <w:sz w:val="28"/>
          <w:szCs w:val="28"/>
        </w:rPr>
        <w:t xml:space="preserve"> </w:t>
      </w:r>
      <w:proofErr w:type="spellStart"/>
      <w:r w:rsidR="00D47654">
        <w:rPr>
          <w:sz w:val="28"/>
          <w:szCs w:val="28"/>
        </w:rPr>
        <w:t>двома</w:t>
      </w:r>
      <w:proofErr w:type="spellEnd"/>
      <w:r w:rsidR="00D47654">
        <w:rPr>
          <w:sz w:val="28"/>
          <w:szCs w:val="28"/>
        </w:rPr>
        <w:t xml:space="preserve"> </w:t>
      </w:r>
      <w:proofErr w:type="spellStart"/>
      <w:r w:rsidR="00D47654">
        <w:rPr>
          <w:sz w:val="28"/>
          <w:szCs w:val="28"/>
        </w:rPr>
        <w:t>вказаними</w:t>
      </w:r>
      <w:proofErr w:type="spellEnd"/>
      <w:r w:rsidR="00D47654">
        <w:rPr>
          <w:sz w:val="28"/>
          <w:szCs w:val="28"/>
        </w:rPr>
        <w:t xml:space="preserve"> </w:t>
      </w:r>
      <w:proofErr w:type="spellStart"/>
      <w:r w:rsidR="00D47654">
        <w:rPr>
          <w:sz w:val="28"/>
          <w:szCs w:val="28"/>
        </w:rPr>
        <w:t>вище</w:t>
      </w:r>
      <w:proofErr w:type="spellEnd"/>
      <w:r w:rsidR="00D47654">
        <w:rPr>
          <w:sz w:val="28"/>
          <w:szCs w:val="28"/>
        </w:rPr>
        <w:t xml:space="preserve"> нормами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Уникнути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колізії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4394B">
        <w:rPr>
          <w:color w:val="auto"/>
          <w:sz w:val="28"/>
          <w:szCs w:val="28"/>
        </w:rPr>
        <w:t>можна</w:t>
      </w:r>
      <w:proofErr w:type="spellEnd"/>
      <w:r w:rsidR="00D32BB2" w:rsidRPr="00E4394B">
        <w:rPr>
          <w:color w:val="auto"/>
          <w:sz w:val="28"/>
          <w:szCs w:val="28"/>
          <w:lang w:val="uk-UA"/>
        </w:rPr>
        <w:t xml:space="preserve">, зокрема, </w:t>
      </w:r>
      <w:r w:rsidRPr="00E4394B">
        <w:rPr>
          <w:color w:val="auto"/>
          <w:sz w:val="28"/>
          <w:szCs w:val="28"/>
        </w:rPr>
        <w:t xml:space="preserve">шляхом </w:t>
      </w:r>
      <w:proofErr w:type="spellStart"/>
      <w:r w:rsidRPr="00E4394B">
        <w:rPr>
          <w:color w:val="auto"/>
          <w:sz w:val="28"/>
          <w:szCs w:val="28"/>
        </w:rPr>
        <w:t>уточнення</w:t>
      </w:r>
      <w:proofErr w:type="spellEnd"/>
      <w:r w:rsidRPr="00E4394B">
        <w:rPr>
          <w:color w:val="auto"/>
          <w:sz w:val="28"/>
          <w:szCs w:val="28"/>
        </w:rPr>
        <w:t xml:space="preserve"> статусу Державного бюро </w:t>
      </w:r>
      <w:proofErr w:type="spellStart"/>
      <w:r w:rsidRPr="00E4394B">
        <w:rPr>
          <w:color w:val="auto"/>
          <w:sz w:val="28"/>
          <w:szCs w:val="28"/>
        </w:rPr>
        <w:t>розслі</w:t>
      </w:r>
      <w:r w:rsidR="0039269E" w:rsidRPr="00E4394B">
        <w:rPr>
          <w:color w:val="auto"/>
          <w:sz w:val="28"/>
          <w:szCs w:val="28"/>
        </w:rPr>
        <w:t>дувань</w:t>
      </w:r>
      <w:proofErr w:type="spellEnd"/>
      <w:r w:rsidR="0039269E" w:rsidRPr="00E4394B">
        <w:rPr>
          <w:color w:val="auto"/>
          <w:sz w:val="28"/>
          <w:szCs w:val="28"/>
        </w:rPr>
        <w:t xml:space="preserve"> на </w:t>
      </w:r>
      <w:proofErr w:type="spellStart"/>
      <w:r w:rsidR="0039269E" w:rsidRPr="00E4394B">
        <w:rPr>
          <w:color w:val="auto"/>
          <w:sz w:val="28"/>
          <w:szCs w:val="28"/>
        </w:rPr>
        <w:t>рівні</w:t>
      </w:r>
      <w:proofErr w:type="spellEnd"/>
      <w:r w:rsidR="0039269E" w:rsidRPr="00E4394B">
        <w:rPr>
          <w:color w:val="auto"/>
          <w:sz w:val="28"/>
          <w:szCs w:val="28"/>
        </w:rPr>
        <w:t xml:space="preserve"> Закону </w:t>
      </w:r>
      <w:proofErr w:type="spellStart"/>
      <w:r w:rsidR="0039269E" w:rsidRPr="00E4394B">
        <w:rPr>
          <w:color w:val="auto"/>
          <w:sz w:val="28"/>
          <w:szCs w:val="28"/>
        </w:rPr>
        <w:t>України</w:t>
      </w:r>
      <w:proofErr w:type="spellEnd"/>
      <w:r w:rsidR="0039269E" w:rsidRPr="00E4394B">
        <w:rPr>
          <w:color w:val="auto"/>
          <w:sz w:val="28"/>
          <w:szCs w:val="28"/>
        </w:rPr>
        <w:t xml:space="preserve"> </w:t>
      </w:r>
      <w:r w:rsidR="0039269E" w:rsidRPr="00E4394B">
        <w:rPr>
          <w:color w:val="auto"/>
          <w:sz w:val="28"/>
          <w:szCs w:val="28"/>
          <w:lang w:val="uk-UA"/>
        </w:rPr>
        <w:t>«</w:t>
      </w:r>
      <w:r w:rsidR="0039269E" w:rsidRPr="00E4394B">
        <w:rPr>
          <w:color w:val="auto"/>
          <w:sz w:val="28"/>
          <w:szCs w:val="28"/>
        </w:rPr>
        <w:t xml:space="preserve">Про </w:t>
      </w:r>
      <w:proofErr w:type="spellStart"/>
      <w:r w:rsidR="0039269E" w:rsidRPr="00E4394B">
        <w:rPr>
          <w:color w:val="auto"/>
          <w:sz w:val="28"/>
          <w:szCs w:val="28"/>
        </w:rPr>
        <w:t>Державне</w:t>
      </w:r>
      <w:proofErr w:type="spellEnd"/>
      <w:r w:rsidR="0039269E" w:rsidRPr="00E4394B">
        <w:rPr>
          <w:color w:val="auto"/>
          <w:sz w:val="28"/>
          <w:szCs w:val="28"/>
        </w:rPr>
        <w:t xml:space="preserve"> бюро </w:t>
      </w:r>
      <w:proofErr w:type="spellStart"/>
      <w:r w:rsidR="0039269E" w:rsidRPr="00E4394B">
        <w:rPr>
          <w:color w:val="auto"/>
          <w:sz w:val="28"/>
          <w:szCs w:val="28"/>
        </w:rPr>
        <w:t>розслідувань</w:t>
      </w:r>
      <w:proofErr w:type="spellEnd"/>
      <w:r w:rsidR="0039269E" w:rsidRPr="00E4394B">
        <w:rPr>
          <w:color w:val="auto"/>
          <w:sz w:val="28"/>
          <w:szCs w:val="28"/>
          <w:lang w:val="uk-UA"/>
        </w:rPr>
        <w:t>»</w:t>
      </w:r>
      <w:r w:rsidRPr="00E4394B">
        <w:rPr>
          <w:color w:val="auto"/>
          <w:sz w:val="28"/>
          <w:szCs w:val="28"/>
        </w:rPr>
        <w:t>.</w:t>
      </w:r>
    </w:p>
    <w:p w:rsidR="007C5C07" w:rsidRPr="00E4394B" w:rsidRDefault="007C5C07">
      <w:pPr>
        <w:shd w:val="clear" w:color="auto" w:fill="FFFFFF"/>
        <w:tabs>
          <w:tab w:val="left" w:pos="6132"/>
        </w:tabs>
        <w:spacing w:before="100" w:after="100"/>
        <w:ind w:firstLine="567"/>
        <w:jc w:val="both"/>
        <w:outlineLvl w:val="2"/>
        <w:rPr>
          <w:color w:val="auto"/>
          <w:sz w:val="28"/>
          <w:szCs w:val="28"/>
        </w:rPr>
      </w:pPr>
    </w:p>
    <w:p w:rsidR="007C5C07" w:rsidRDefault="00504C33">
      <w:pPr>
        <w:tabs>
          <w:tab w:val="left" w:pos="6132"/>
        </w:tabs>
        <w:rPr>
          <w:kern w:val="2"/>
          <w:sz w:val="28"/>
          <w:szCs w:val="28"/>
          <w:u w:val="single"/>
        </w:rPr>
      </w:pPr>
      <w:r>
        <w:t>​</w:t>
      </w:r>
    </w:p>
    <w:p w:rsidR="007C5C07" w:rsidRDefault="00504C33">
      <w:pPr>
        <w:tabs>
          <w:tab w:val="left" w:pos="6132"/>
        </w:tabs>
        <w:spacing w:after="1080"/>
        <w:ind w:firstLine="708"/>
        <w:jc w:val="both"/>
      </w:pPr>
      <w:r>
        <w:rPr>
          <w:b/>
          <w:bCs/>
          <w:sz w:val="28"/>
          <w:szCs w:val="28"/>
        </w:rPr>
        <w:t xml:space="preserve">Голова </w:t>
      </w:r>
      <w:proofErr w:type="spellStart"/>
      <w:r>
        <w:rPr>
          <w:b/>
          <w:bCs/>
          <w:sz w:val="28"/>
          <w:szCs w:val="28"/>
        </w:rPr>
        <w:t>Комітету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А. </w:t>
      </w:r>
      <w:proofErr w:type="spellStart"/>
      <w:r>
        <w:rPr>
          <w:b/>
          <w:bCs/>
          <w:sz w:val="28"/>
          <w:szCs w:val="28"/>
        </w:rPr>
        <w:t>Красносільська</w:t>
      </w:r>
      <w:proofErr w:type="spellEnd"/>
    </w:p>
    <w:sectPr w:rsidR="007C5C07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ED" w:rsidRDefault="00470EED">
      <w:r>
        <w:separator/>
      </w:r>
    </w:p>
  </w:endnote>
  <w:endnote w:type="continuationSeparator" w:id="0">
    <w:p w:rsidR="00470EED" w:rsidRDefault="0047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07" w:rsidRDefault="007C5C0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ED" w:rsidRDefault="00470EED">
      <w:r>
        <w:separator/>
      </w:r>
    </w:p>
  </w:footnote>
  <w:footnote w:type="continuationSeparator" w:id="0">
    <w:p w:rsidR="00470EED" w:rsidRDefault="0047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07" w:rsidRDefault="007C5C0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7005"/>
    <w:multiLevelType w:val="hybridMultilevel"/>
    <w:tmpl w:val="7DDE4B2C"/>
    <w:styleLink w:val="Numbered"/>
    <w:lvl w:ilvl="0" w:tplc="4FCE0BE8">
      <w:start w:val="1"/>
      <w:numFmt w:val="decimal"/>
      <w:lvlText w:val="%1."/>
      <w:lvlJc w:val="left"/>
      <w:pPr>
        <w:tabs>
          <w:tab w:val="num" w:pos="820"/>
          <w:tab w:val="left" w:pos="6132"/>
        </w:tabs>
        <w:ind w:left="2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82B34">
      <w:start w:val="1"/>
      <w:numFmt w:val="decimal"/>
      <w:lvlText w:val="%2."/>
      <w:lvlJc w:val="left"/>
      <w:pPr>
        <w:tabs>
          <w:tab w:val="num" w:pos="1620"/>
          <w:tab w:val="left" w:pos="6132"/>
        </w:tabs>
        <w:ind w:left="10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21FE4">
      <w:start w:val="1"/>
      <w:numFmt w:val="decimal"/>
      <w:lvlText w:val="%3."/>
      <w:lvlJc w:val="left"/>
      <w:pPr>
        <w:tabs>
          <w:tab w:val="num" w:pos="2420"/>
          <w:tab w:val="left" w:pos="6132"/>
        </w:tabs>
        <w:ind w:left="18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C9778">
      <w:start w:val="1"/>
      <w:numFmt w:val="decimal"/>
      <w:lvlText w:val="%4."/>
      <w:lvlJc w:val="left"/>
      <w:pPr>
        <w:tabs>
          <w:tab w:val="num" w:pos="3220"/>
          <w:tab w:val="left" w:pos="6132"/>
        </w:tabs>
        <w:ind w:left="26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AE93C4">
      <w:start w:val="1"/>
      <w:numFmt w:val="decimal"/>
      <w:lvlText w:val="%5."/>
      <w:lvlJc w:val="left"/>
      <w:pPr>
        <w:tabs>
          <w:tab w:val="num" w:pos="4020"/>
          <w:tab w:val="left" w:pos="6132"/>
        </w:tabs>
        <w:ind w:left="34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AF2AA">
      <w:start w:val="1"/>
      <w:numFmt w:val="decimal"/>
      <w:lvlText w:val="%6."/>
      <w:lvlJc w:val="left"/>
      <w:pPr>
        <w:tabs>
          <w:tab w:val="num" w:pos="4820"/>
          <w:tab w:val="left" w:pos="6132"/>
        </w:tabs>
        <w:ind w:left="42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C62F2E">
      <w:start w:val="1"/>
      <w:numFmt w:val="decimal"/>
      <w:lvlText w:val="%7."/>
      <w:lvlJc w:val="left"/>
      <w:pPr>
        <w:tabs>
          <w:tab w:val="num" w:pos="5620"/>
          <w:tab w:val="left" w:pos="6132"/>
        </w:tabs>
        <w:ind w:left="50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6183C">
      <w:start w:val="1"/>
      <w:numFmt w:val="decimal"/>
      <w:lvlText w:val="%8."/>
      <w:lvlJc w:val="left"/>
      <w:pPr>
        <w:tabs>
          <w:tab w:val="left" w:pos="6132"/>
          <w:tab w:val="num" w:pos="6420"/>
        </w:tabs>
        <w:ind w:left="58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DE28CC">
      <w:start w:val="1"/>
      <w:numFmt w:val="decimal"/>
      <w:lvlText w:val="%9."/>
      <w:lvlJc w:val="left"/>
      <w:pPr>
        <w:tabs>
          <w:tab w:val="left" w:pos="6132"/>
          <w:tab w:val="num" w:pos="7220"/>
        </w:tabs>
        <w:ind w:left="66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6D30E9"/>
    <w:multiLevelType w:val="hybridMultilevel"/>
    <w:tmpl w:val="7DDE4B2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07"/>
    <w:rsid w:val="0039269E"/>
    <w:rsid w:val="00470EED"/>
    <w:rsid w:val="00504C33"/>
    <w:rsid w:val="005348C0"/>
    <w:rsid w:val="006063C5"/>
    <w:rsid w:val="00701123"/>
    <w:rsid w:val="007C5C07"/>
    <w:rsid w:val="0083457B"/>
    <w:rsid w:val="009C7371"/>
    <w:rsid w:val="00A847C1"/>
    <w:rsid w:val="00D32BB2"/>
    <w:rsid w:val="00D47654"/>
    <w:rsid w:val="00E4394B"/>
    <w:rsid w:val="00EB379D"/>
    <w:rsid w:val="00F5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50A9"/>
  <w15:docId w15:val="{A08E1F4E-97A3-4C1C-98C6-9D615F52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Звичайний1"/>
    <w:rPr>
      <w:rFonts w:cs="Arial Unicode MS"/>
      <w:color w:val="000000"/>
      <w:sz w:val="24"/>
      <w:szCs w:val="24"/>
      <w:u w:color="000000"/>
      <w:lang w:val="ru-RU"/>
    </w:rPr>
  </w:style>
  <w:style w:type="numbering" w:customStyle="1" w:styleId="Numbered">
    <w:name w:val="Numbered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39269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9269E"/>
    <w:rPr>
      <w:rFonts w:ascii="Segoe UI" w:hAnsi="Segoe UI" w:cs="Segoe UI"/>
      <w:color w:val="000000"/>
      <w:sz w:val="18"/>
      <w:szCs w:val="18"/>
      <w:u w:color="000000"/>
      <w:lang w:val="ru-RU"/>
    </w:rPr>
  </w:style>
  <w:style w:type="paragraph" w:customStyle="1" w:styleId="gmail-p1">
    <w:name w:val="gmail-p1"/>
    <w:basedOn w:val="a"/>
    <w:rsid w:val="008345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bdr w:val="none" w:sz="0" w:space="0" w:color="auto"/>
      <w:lang w:val="uk-UA"/>
    </w:rPr>
  </w:style>
  <w:style w:type="character" w:customStyle="1" w:styleId="gmail-s2">
    <w:name w:val="gmail-s2"/>
    <w:basedOn w:val="a0"/>
    <w:rsid w:val="0083457B"/>
  </w:style>
  <w:style w:type="character" w:customStyle="1" w:styleId="gmail-s3">
    <w:name w:val="gmail-s3"/>
    <w:basedOn w:val="a0"/>
    <w:rsid w:val="0083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3722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Чілікіна Алла Василівна</dc:creator>
  <cp:lastModifiedBy>Чілікіна Алла Василівна</cp:lastModifiedBy>
  <cp:revision>6</cp:revision>
  <cp:lastPrinted>2019-09-04T14:36:00Z</cp:lastPrinted>
  <dcterms:created xsi:type="dcterms:W3CDTF">2019-09-02T11:17:00Z</dcterms:created>
  <dcterms:modified xsi:type="dcterms:W3CDTF">2019-09-04T14:37:00Z</dcterms:modified>
</cp:coreProperties>
</file>