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58E" w:rsidRPr="00AD7F82" w:rsidRDefault="0083558E" w:rsidP="0083558E">
      <w:pPr>
        <w:pStyle w:val="a3"/>
        <w:tabs>
          <w:tab w:val="clear" w:pos="4677"/>
          <w:tab w:val="clear" w:pos="9355"/>
        </w:tabs>
        <w:jc w:val="center"/>
        <w:rPr>
          <w:color w:val="002060"/>
          <w:sz w:val="32"/>
          <w:szCs w:val="32"/>
        </w:rPr>
      </w:pPr>
      <w:r w:rsidRPr="0021032F">
        <w:rPr>
          <w:noProof/>
          <w:spacing w:val="20"/>
          <w:sz w:val="34"/>
          <w:szCs w:val="34"/>
          <w:lang w:val="uk-UA" w:eastAsia="uk-UA"/>
        </w:rPr>
        <w:drawing>
          <wp:anchor distT="360045" distB="0" distL="114300" distR="114300" simplePos="0" relativeHeight="251659264" behindDoc="0" locked="0" layoutInCell="1" allowOverlap="1" wp14:anchorId="301D15FA" wp14:editId="66E0F15C">
            <wp:simplePos x="0" y="0"/>
            <wp:positionH relativeFrom="margin">
              <wp:posOffset>2758440</wp:posOffset>
            </wp:positionH>
            <wp:positionV relativeFrom="paragraph">
              <wp:posOffset>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p>
    <w:p w:rsidR="0083558E" w:rsidRPr="00AD7F82" w:rsidRDefault="0083558E" w:rsidP="0083558E">
      <w:pPr>
        <w:pStyle w:val="a3"/>
        <w:tabs>
          <w:tab w:val="clear" w:pos="4677"/>
          <w:tab w:val="clear" w:pos="9355"/>
        </w:tabs>
        <w:jc w:val="center"/>
        <w:rPr>
          <w:color w:val="002060"/>
          <w:sz w:val="32"/>
          <w:szCs w:val="32"/>
        </w:rPr>
      </w:pPr>
    </w:p>
    <w:p w:rsidR="0083558E" w:rsidRPr="00AD7F82" w:rsidRDefault="0083558E" w:rsidP="0083558E">
      <w:pPr>
        <w:pStyle w:val="a3"/>
        <w:tabs>
          <w:tab w:val="clear" w:pos="4677"/>
          <w:tab w:val="clear" w:pos="9355"/>
        </w:tabs>
        <w:jc w:val="center"/>
        <w:rPr>
          <w:color w:val="002060"/>
          <w:sz w:val="32"/>
          <w:szCs w:val="32"/>
        </w:rPr>
      </w:pPr>
    </w:p>
    <w:p w:rsidR="0083558E" w:rsidRPr="0083558E" w:rsidRDefault="0083558E" w:rsidP="0083558E">
      <w:pPr>
        <w:pStyle w:val="a3"/>
        <w:tabs>
          <w:tab w:val="clear" w:pos="4677"/>
          <w:tab w:val="clear" w:pos="9355"/>
        </w:tabs>
        <w:spacing w:before="80"/>
        <w:jc w:val="center"/>
        <w:rPr>
          <w:color w:val="1829A8"/>
          <w:spacing w:val="20"/>
          <w:sz w:val="34"/>
          <w:szCs w:val="34"/>
          <w:lang w:val="ru-RU"/>
        </w:rPr>
      </w:pPr>
      <w:r w:rsidRPr="0021032F">
        <w:rPr>
          <w:color w:val="1829A8"/>
          <w:spacing w:val="20"/>
          <w:sz w:val="34"/>
          <w:szCs w:val="34"/>
          <w:lang w:val="uk-UA"/>
        </w:rPr>
        <w:t>ВЕРХОВНА РАДА УКРАЇНИ</w:t>
      </w:r>
    </w:p>
    <w:p w:rsidR="0083558E" w:rsidRPr="0083558E" w:rsidRDefault="0083558E" w:rsidP="0083558E">
      <w:pPr>
        <w:pStyle w:val="a3"/>
        <w:tabs>
          <w:tab w:val="clear" w:pos="4677"/>
          <w:tab w:val="clear" w:pos="9355"/>
        </w:tabs>
        <w:spacing w:before="100"/>
        <w:jc w:val="center"/>
        <w:rPr>
          <w:b/>
          <w:color w:val="1829A8"/>
          <w:spacing w:val="20"/>
          <w:sz w:val="24"/>
          <w:szCs w:val="24"/>
          <w:lang w:val="ru-RU"/>
        </w:rPr>
      </w:pPr>
      <w:r w:rsidRPr="00C86266">
        <w:rPr>
          <w:b/>
          <w:color w:val="1829A8"/>
          <w:spacing w:val="20"/>
          <w:sz w:val="24"/>
          <w:szCs w:val="24"/>
          <w:lang w:val="uk-UA"/>
        </w:rPr>
        <w:t>Комітет з питань</w:t>
      </w:r>
      <w:r>
        <w:rPr>
          <w:b/>
          <w:color w:val="1829A8"/>
          <w:spacing w:val="20"/>
          <w:sz w:val="24"/>
          <w:szCs w:val="24"/>
          <w:lang w:val="uk-UA"/>
        </w:rPr>
        <w:t xml:space="preserve"> інтеграції України з Європейським Союзом</w:t>
      </w:r>
    </w:p>
    <w:p w:rsidR="0083558E" w:rsidRPr="00B5656C" w:rsidRDefault="0083558E" w:rsidP="0083558E">
      <w:pPr>
        <w:jc w:val="center"/>
        <w:rPr>
          <w:lang w:val="uk-UA"/>
        </w:rPr>
      </w:pPr>
      <w:r>
        <w:rPr>
          <w:color w:val="1829A8"/>
          <w:sz w:val="20"/>
          <w:szCs w:val="20"/>
          <w:lang w:val="uk-UA"/>
        </w:rPr>
        <w:t>0</w:t>
      </w:r>
      <w:r w:rsidRPr="00A833C8">
        <w:rPr>
          <w:color w:val="1829A8"/>
          <w:sz w:val="20"/>
          <w:szCs w:val="20"/>
          <w:lang w:val="uk-UA"/>
        </w:rPr>
        <w:t xml:space="preserve">1008, м.Київ-8, вул. М. Грушевського, 5, </w:t>
      </w:r>
      <w:proofErr w:type="spellStart"/>
      <w:r w:rsidRPr="00A833C8">
        <w:rPr>
          <w:color w:val="1829A8"/>
          <w:sz w:val="20"/>
          <w:szCs w:val="20"/>
          <w:lang w:val="uk-UA"/>
        </w:rPr>
        <w:t>тел</w:t>
      </w:r>
      <w:proofErr w:type="spellEnd"/>
      <w:r w:rsidRPr="00A833C8">
        <w:rPr>
          <w:color w:val="1829A8"/>
          <w:sz w:val="20"/>
          <w:szCs w:val="20"/>
          <w:lang w:val="uk-UA"/>
        </w:rPr>
        <w:t>.</w:t>
      </w:r>
      <w:r>
        <w:rPr>
          <w:color w:val="1829A8"/>
          <w:sz w:val="20"/>
          <w:szCs w:val="20"/>
          <w:lang w:val="uk-UA"/>
        </w:rPr>
        <w:t xml:space="preserve">: </w:t>
      </w:r>
      <w:r w:rsidRPr="00A833C8">
        <w:rPr>
          <w:color w:val="1829A8"/>
          <w:sz w:val="20"/>
          <w:szCs w:val="20"/>
          <w:lang w:val="uk-UA"/>
        </w:rPr>
        <w:t>2</w:t>
      </w:r>
      <w:r>
        <w:rPr>
          <w:color w:val="1829A8"/>
          <w:sz w:val="20"/>
          <w:szCs w:val="20"/>
          <w:lang w:val="uk-UA"/>
        </w:rPr>
        <w:t>55</w:t>
      </w:r>
      <w:r w:rsidRPr="00A833C8">
        <w:rPr>
          <w:color w:val="1829A8"/>
          <w:sz w:val="20"/>
          <w:szCs w:val="20"/>
          <w:lang w:val="uk-UA"/>
        </w:rPr>
        <w:t>-</w:t>
      </w:r>
      <w:r>
        <w:rPr>
          <w:color w:val="1829A8"/>
          <w:sz w:val="20"/>
          <w:szCs w:val="20"/>
          <w:lang w:val="uk-UA"/>
        </w:rPr>
        <w:t>34</w:t>
      </w:r>
      <w:r w:rsidRPr="00A833C8">
        <w:rPr>
          <w:color w:val="1829A8"/>
          <w:sz w:val="20"/>
          <w:szCs w:val="20"/>
          <w:lang w:val="uk-UA"/>
        </w:rPr>
        <w:t>-</w:t>
      </w:r>
      <w:r>
        <w:rPr>
          <w:color w:val="1829A8"/>
          <w:sz w:val="20"/>
          <w:szCs w:val="20"/>
          <w:lang w:val="uk-UA"/>
        </w:rPr>
        <w:t>42, факс</w:t>
      </w:r>
      <w:r w:rsidRPr="0083558E">
        <w:rPr>
          <w:color w:val="1829A8"/>
          <w:sz w:val="20"/>
          <w:szCs w:val="20"/>
          <w:lang w:val="ru-RU"/>
        </w:rPr>
        <w:t>:</w:t>
      </w:r>
      <w:r>
        <w:rPr>
          <w:color w:val="1829A8"/>
          <w:sz w:val="20"/>
          <w:szCs w:val="20"/>
          <w:lang w:val="uk-UA"/>
        </w:rPr>
        <w:t xml:space="preserve"> 255-33-13, </w:t>
      </w:r>
      <w:r>
        <w:rPr>
          <w:color w:val="1829A8"/>
          <w:sz w:val="20"/>
          <w:szCs w:val="20"/>
        </w:rPr>
        <w:t>e</w:t>
      </w:r>
      <w:r w:rsidRPr="0083558E">
        <w:rPr>
          <w:color w:val="1829A8"/>
          <w:sz w:val="20"/>
          <w:szCs w:val="20"/>
          <w:lang w:val="ru-RU"/>
        </w:rPr>
        <w:t>-</w:t>
      </w:r>
      <w:r>
        <w:rPr>
          <w:color w:val="1829A8"/>
          <w:sz w:val="20"/>
          <w:szCs w:val="20"/>
        </w:rPr>
        <w:t>mail</w:t>
      </w:r>
      <w:r w:rsidRPr="0083558E">
        <w:rPr>
          <w:color w:val="1829A8"/>
          <w:sz w:val="20"/>
          <w:szCs w:val="20"/>
          <w:lang w:val="ru-RU"/>
        </w:rPr>
        <w:t xml:space="preserve">: </w:t>
      </w:r>
      <w:proofErr w:type="spellStart"/>
      <w:r>
        <w:rPr>
          <w:color w:val="1829A8"/>
          <w:sz w:val="20"/>
          <w:szCs w:val="20"/>
        </w:rPr>
        <w:t>comeuroint</w:t>
      </w:r>
      <w:proofErr w:type="spellEnd"/>
      <w:r w:rsidRPr="0083558E">
        <w:rPr>
          <w:color w:val="1829A8"/>
          <w:sz w:val="20"/>
          <w:szCs w:val="20"/>
          <w:lang w:val="ru-RU"/>
        </w:rPr>
        <w:t>@</w:t>
      </w:r>
      <w:r>
        <w:rPr>
          <w:color w:val="1829A8"/>
          <w:sz w:val="20"/>
          <w:szCs w:val="20"/>
        </w:rPr>
        <w:t>v</w:t>
      </w:r>
      <w:r w:rsidRPr="0083558E">
        <w:rPr>
          <w:color w:val="1829A8"/>
          <w:sz w:val="20"/>
          <w:szCs w:val="20"/>
          <w:lang w:val="ru-RU"/>
        </w:rPr>
        <w:t>.</w:t>
      </w:r>
      <w:proofErr w:type="spellStart"/>
      <w:r>
        <w:rPr>
          <w:color w:val="1829A8"/>
          <w:sz w:val="20"/>
          <w:szCs w:val="20"/>
        </w:rPr>
        <w:t>rada</w:t>
      </w:r>
      <w:proofErr w:type="spellEnd"/>
      <w:r w:rsidRPr="0083558E">
        <w:rPr>
          <w:color w:val="1829A8"/>
          <w:sz w:val="20"/>
          <w:szCs w:val="20"/>
          <w:lang w:val="ru-RU"/>
        </w:rPr>
        <w:t>.</w:t>
      </w:r>
      <w:proofErr w:type="spellStart"/>
      <w:r>
        <w:rPr>
          <w:color w:val="1829A8"/>
          <w:sz w:val="20"/>
          <w:szCs w:val="20"/>
        </w:rPr>
        <w:t>gov</w:t>
      </w:r>
      <w:proofErr w:type="spellEnd"/>
      <w:r w:rsidRPr="0083558E">
        <w:rPr>
          <w:color w:val="1829A8"/>
          <w:sz w:val="20"/>
          <w:szCs w:val="20"/>
          <w:lang w:val="ru-RU"/>
        </w:rPr>
        <w:t>.</w:t>
      </w:r>
      <w:proofErr w:type="spellStart"/>
      <w:r>
        <w:rPr>
          <w:color w:val="1829A8"/>
          <w:sz w:val="20"/>
          <w:szCs w:val="20"/>
        </w:rPr>
        <w:t>ua</w:t>
      </w:r>
      <w:proofErr w:type="spellEnd"/>
    </w:p>
    <w:p w:rsidR="0083558E" w:rsidRPr="00B5656C" w:rsidRDefault="0083558E" w:rsidP="0083558E">
      <w:pPr>
        <w:rPr>
          <w:lang w:val="uk-UA"/>
        </w:rPr>
      </w:pPr>
    </w:p>
    <w:p w:rsidR="0083558E" w:rsidRDefault="0083558E" w:rsidP="00CA3A43">
      <w:pPr>
        <w:jc w:val="center"/>
        <w:rPr>
          <w:b/>
          <w:lang w:val="uk-UA"/>
        </w:rPr>
      </w:pPr>
    </w:p>
    <w:p w:rsidR="005C5C32" w:rsidRPr="005C5C32" w:rsidRDefault="005C5C32" w:rsidP="005C5C32">
      <w:pPr>
        <w:ind w:firstLine="567"/>
        <w:jc w:val="center"/>
        <w:outlineLvl w:val="4"/>
        <w:rPr>
          <w:bCs/>
          <w:lang w:val="uk-UA"/>
        </w:rPr>
      </w:pPr>
      <w:r w:rsidRPr="005C5C32">
        <w:rPr>
          <w:bCs/>
          <w:lang w:val="ru-RU"/>
        </w:rPr>
        <w:t>ВИСНОВОК</w:t>
      </w:r>
    </w:p>
    <w:p w:rsidR="005C5C32" w:rsidRPr="005C5C32" w:rsidRDefault="005C5C32" w:rsidP="005C5C32">
      <w:pPr>
        <w:ind w:firstLine="567"/>
        <w:jc w:val="center"/>
        <w:outlineLvl w:val="4"/>
        <w:rPr>
          <w:lang w:val="ru-RU"/>
        </w:rPr>
      </w:pPr>
      <w:r w:rsidRPr="005C5C32">
        <w:rPr>
          <w:bCs/>
          <w:lang w:val="ru-RU"/>
        </w:rPr>
        <w:t xml:space="preserve">Комітету Верховної Ради України з питань </w:t>
      </w:r>
      <w:r w:rsidRPr="005C5C32">
        <w:rPr>
          <w:lang w:val="ru-RU"/>
        </w:rPr>
        <w:t>інтеграції України з Європейським Союзом щодо проекту Закону України</w:t>
      </w:r>
    </w:p>
    <w:p w:rsidR="005C5C32" w:rsidRPr="005C5C32" w:rsidRDefault="005C5C32" w:rsidP="00FE5A43">
      <w:pPr>
        <w:pStyle w:val="3"/>
      </w:pPr>
      <w:r w:rsidRPr="005C5C32">
        <w:t xml:space="preserve">«Про внесення змін до деяких законодавчих актів України щодо забезпечення виконання Україною Конвенції про цивільно-правові аспекти міжнародного викрадення дітей» (реєстр. № 1192 від </w:t>
      </w:r>
      <w:r w:rsidRPr="005C5C32">
        <w:rPr>
          <w:shd w:val="clear" w:color="auto" w:fill="FFFFFF"/>
        </w:rPr>
        <w:t xml:space="preserve">29.08.2019 </w:t>
      </w:r>
      <w:r w:rsidRPr="005C5C32">
        <w:t xml:space="preserve">р., </w:t>
      </w:r>
      <w:proofErr w:type="spellStart"/>
      <w:r w:rsidRPr="005C5C32">
        <w:t>н.д</w:t>
      </w:r>
      <w:proofErr w:type="spellEnd"/>
      <w:r w:rsidRPr="005C5C32">
        <w:t xml:space="preserve">.  І. </w:t>
      </w:r>
      <w:proofErr w:type="spellStart"/>
      <w:r w:rsidRPr="005C5C32">
        <w:t>Климпуш-Цинцадзе</w:t>
      </w:r>
      <w:proofErr w:type="spellEnd"/>
      <w:r w:rsidRPr="005C5C32">
        <w:t xml:space="preserve">, І. Геращенко, А. </w:t>
      </w:r>
      <w:proofErr w:type="spellStart"/>
      <w:r w:rsidRPr="005C5C32">
        <w:t>Лопушанський</w:t>
      </w:r>
      <w:proofErr w:type="spellEnd"/>
      <w:r w:rsidRPr="005C5C32">
        <w:t xml:space="preserve"> та інші)</w:t>
      </w:r>
    </w:p>
    <w:p w:rsidR="005C5C32" w:rsidRPr="005C5C32" w:rsidRDefault="005C5C32" w:rsidP="005C5C32">
      <w:pPr>
        <w:spacing w:before="60" w:after="60"/>
        <w:ind w:firstLine="567"/>
        <w:rPr>
          <w:b/>
          <w:lang w:val="ru-RU"/>
        </w:rPr>
      </w:pPr>
      <w:r w:rsidRPr="005C5C32">
        <w:rPr>
          <w:b/>
          <w:lang w:val="ru-RU"/>
        </w:rPr>
        <w:t>1.</w:t>
      </w:r>
      <w:r>
        <w:rPr>
          <w:b/>
        </w:rPr>
        <w:t> </w:t>
      </w:r>
      <w:r w:rsidRPr="005C5C32">
        <w:rPr>
          <w:b/>
          <w:lang w:val="ru-RU"/>
        </w:rPr>
        <w:t>Загальна характеристика законопроекту.</w:t>
      </w:r>
    </w:p>
    <w:p w:rsidR="005C5C32" w:rsidRDefault="005C5C32" w:rsidP="005C5C32">
      <w:pPr>
        <w:pStyle w:val="ae"/>
        <w:spacing w:before="120" w:after="120"/>
        <w:ind w:left="0" w:firstLine="720"/>
        <w:jc w:val="both"/>
      </w:pPr>
      <w:r>
        <w:t xml:space="preserve">Законопроектом передбачено внесення змін до Цивільного процесуального кодексу України, Сімейного кодексу України, Кримінального кодексу України, </w:t>
      </w:r>
      <w:r>
        <w:rPr>
          <w:bCs/>
          <w:iCs/>
        </w:rPr>
        <w:t xml:space="preserve">Кримінального процесуального кодексу України, Кодексу про адміністративні правопорушення, законів України “Про правовий статус іноземців та осіб без громадянства”, </w:t>
      </w:r>
      <w:r>
        <w:t>“Про забезпечення організаційно-правових умов соціального захисту дітей-сиріт та дітей, позбавлених батьківського піклування”, “Про виконавче провадження”. Відповідно до пояснювальної записки, зокрема, пропонується:</w:t>
      </w:r>
    </w:p>
    <w:p w:rsidR="005C5C32" w:rsidRDefault="005C5C32" w:rsidP="005C5C32">
      <w:pPr>
        <w:pStyle w:val="ae"/>
        <w:numPr>
          <w:ilvl w:val="0"/>
          <w:numId w:val="11"/>
        </w:numPr>
        <w:spacing w:before="120" w:after="120"/>
        <w:jc w:val="both"/>
      </w:pPr>
      <w:r>
        <w:t>передбачити особливості розгляду судом справ про повернення дитини на підставі Гаазької конвенції встановивши вимоги до змісту позовної заяви, перелік заходів забезпечення позову, строки врегулювання спору за участі судді, строків розгляду справ судами першої та апеляційної інстанцій;</w:t>
      </w:r>
    </w:p>
    <w:p w:rsidR="005C5C32" w:rsidRDefault="005C5C32" w:rsidP="005C5C32">
      <w:pPr>
        <w:pStyle w:val="ae"/>
        <w:numPr>
          <w:ilvl w:val="0"/>
          <w:numId w:val="11"/>
        </w:numPr>
        <w:spacing w:before="120" w:after="120"/>
        <w:jc w:val="both"/>
      </w:pPr>
      <w:r>
        <w:t>обмежити випадки для касаційного оскарження рішень, винесених на підставі Гаазької конвенції;</w:t>
      </w:r>
    </w:p>
    <w:p w:rsidR="005C5C32" w:rsidRDefault="005C5C32" w:rsidP="005C5C32">
      <w:pPr>
        <w:pStyle w:val="ae"/>
        <w:numPr>
          <w:ilvl w:val="0"/>
          <w:numId w:val="11"/>
        </w:numPr>
        <w:spacing w:before="120" w:after="120"/>
        <w:jc w:val="both"/>
      </w:pPr>
      <w:r>
        <w:t xml:space="preserve">розширити існуючий перелік тимчасового поміщення дитини на стадії виконавчого провадження у сім’ю родичів або патронатного вихователя для того, щоб дитина перебувала в найменш </w:t>
      </w:r>
      <w:proofErr w:type="spellStart"/>
      <w:r>
        <w:t>травмуючій</w:t>
      </w:r>
      <w:proofErr w:type="spellEnd"/>
      <w:r>
        <w:t xml:space="preserve"> ситуації, пов’язаній з труднощами виконання рішень судів;</w:t>
      </w:r>
    </w:p>
    <w:p w:rsidR="005C5C32" w:rsidRDefault="005C5C32" w:rsidP="005C5C32">
      <w:pPr>
        <w:pStyle w:val="ae"/>
        <w:numPr>
          <w:ilvl w:val="0"/>
          <w:numId w:val="11"/>
        </w:numPr>
        <w:spacing w:before="120" w:after="120"/>
        <w:jc w:val="both"/>
      </w:pPr>
      <w:r>
        <w:t>надати право головам окружних апеляційних судів визначати перелік судів, які будуть розглядати позови про повернення дитини;</w:t>
      </w:r>
    </w:p>
    <w:p w:rsidR="005C5C32" w:rsidRDefault="005C5C32" w:rsidP="005C5C32">
      <w:pPr>
        <w:pStyle w:val="ae"/>
        <w:numPr>
          <w:ilvl w:val="0"/>
          <w:numId w:val="11"/>
        </w:numPr>
        <w:spacing w:before="120" w:after="120"/>
        <w:jc w:val="both"/>
      </w:pPr>
      <w:r>
        <w:t>надати право батькам-вихователям вимагати відібрання дитини від інших осіб, які не мають на те законних повноважень;</w:t>
      </w:r>
    </w:p>
    <w:p w:rsidR="005C5C32" w:rsidRDefault="005C5C32" w:rsidP="005C5C32">
      <w:pPr>
        <w:pStyle w:val="ae"/>
        <w:numPr>
          <w:ilvl w:val="0"/>
          <w:numId w:val="11"/>
        </w:numPr>
        <w:spacing w:before="120" w:after="120"/>
        <w:jc w:val="both"/>
      </w:pPr>
      <w:r>
        <w:t>встановити тимчасові обмеження у праві виїзду за кордон до повного виконання рішення суду про повернення дитини або до скасування заходу забезпечення позову;</w:t>
      </w:r>
    </w:p>
    <w:p w:rsidR="005C5C32" w:rsidRDefault="005C5C32" w:rsidP="005C5C32">
      <w:pPr>
        <w:pStyle w:val="ae"/>
        <w:numPr>
          <w:ilvl w:val="0"/>
          <w:numId w:val="11"/>
        </w:numPr>
        <w:spacing w:before="120" w:after="120"/>
        <w:jc w:val="both"/>
      </w:pPr>
      <w:r>
        <w:t>встановити кримінальну відповідальність одного із батьків (</w:t>
      </w:r>
      <w:proofErr w:type="spellStart"/>
      <w:r>
        <w:t>усиновлювачів</w:t>
      </w:r>
      <w:proofErr w:type="spellEnd"/>
      <w:r>
        <w:t xml:space="preserve">), опікунів, піклувальників, які незаконно вивезли чи утримують за кордоном </w:t>
      </w:r>
      <w:r>
        <w:lastRenderedPageBreak/>
        <w:t>дитину, яка має постійне проживання в Україні, в порушення рішення органу опіки та піклування або суду, або прав, встановлених законодавством щодо визначення місця проживання дитини.</w:t>
      </w:r>
    </w:p>
    <w:p w:rsidR="005C5C32" w:rsidRPr="005C5C32" w:rsidRDefault="005C5C32" w:rsidP="005C5C32">
      <w:pPr>
        <w:ind w:firstLine="851"/>
        <w:jc w:val="both"/>
        <w:rPr>
          <w:b/>
          <w:bCs/>
          <w:lang w:val="ru-RU"/>
        </w:rPr>
      </w:pPr>
      <w:r w:rsidRPr="005C5C32">
        <w:rPr>
          <w:rFonts w:eastAsia="Verdana"/>
          <w:b/>
          <w:bCs/>
          <w:lang w:val="ru-RU"/>
        </w:rPr>
        <w:t>2.</w:t>
      </w:r>
      <w:r>
        <w:rPr>
          <w:rFonts w:eastAsia="Verdana"/>
          <w:b/>
          <w:bCs/>
        </w:rPr>
        <w:t>  </w:t>
      </w:r>
      <w:r w:rsidRPr="005C5C32">
        <w:rPr>
          <w:b/>
          <w:bCs/>
          <w:lang w:val="ru-RU"/>
        </w:rPr>
        <w:t>Належність законопроекту за предметом правового регулювання до сфери дії права Європейського Союзу.</w:t>
      </w:r>
    </w:p>
    <w:p w:rsidR="005C5C32" w:rsidRPr="005C5C32" w:rsidRDefault="005C5C32" w:rsidP="005C5C32">
      <w:pPr>
        <w:spacing w:before="60" w:after="60"/>
        <w:ind w:firstLine="567"/>
        <w:jc w:val="both"/>
        <w:rPr>
          <w:lang w:val="ru-RU"/>
        </w:rPr>
      </w:pPr>
      <w:r w:rsidRPr="005C5C32">
        <w:rPr>
          <w:lang w:val="ru-RU"/>
        </w:rPr>
        <w:t>Предмет правового регулювання законопроекту охоплюється положеннями статті 14 «Верховенство права та повага до прав людини і основоположних свобод»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w:t>
      </w:r>
    </w:p>
    <w:p w:rsidR="005C5C32" w:rsidRDefault="005C5C32" w:rsidP="005C5C32">
      <w:pPr>
        <w:pStyle w:val="10"/>
        <w:spacing w:before="60" w:after="60" w:line="240" w:lineRule="auto"/>
        <w:ind w:left="0"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Правовідносини, аналогічні тим, які пропонується врегулювати проектом Закону, регулюються:</w:t>
      </w:r>
    </w:p>
    <w:p w:rsidR="005C5C32" w:rsidRDefault="005C5C32" w:rsidP="005C5C32">
      <w:pPr>
        <w:pStyle w:val="ae"/>
        <w:numPr>
          <w:ilvl w:val="0"/>
          <w:numId w:val="12"/>
        </w:numPr>
        <w:ind w:left="1077" w:hanging="357"/>
        <w:rPr>
          <w:i/>
        </w:rPr>
      </w:pPr>
      <w:r>
        <w:rPr>
          <w:i/>
        </w:rPr>
        <w:t>Європейською конвенцією про здійснення прав дітей від 03.08.2006;</w:t>
      </w:r>
    </w:p>
    <w:p w:rsidR="005C5C32" w:rsidRDefault="005C5C32" w:rsidP="005C5C32">
      <w:pPr>
        <w:pStyle w:val="ae"/>
        <w:numPr>
          <w:ilvl w:val="0"/>
          <w:numId w:val="12"/>
        </w:numPr>
        <w:ind w:left="1077" w:hanging="357"/>
        <w:rPr>
          <w:i/>
        </w:rPr>
      </w:pPr>
      <w:r>
        <w:rPr>
          <w:bCs/>
          <w:i/>
        </w:rPr>
        <w:t>Конвенцією про права дитини від 20.11.2014;</w:t>
      </w:r>
    </w:p>
    <w:p w:rsidR="005C5C32" w:rsidRDefault="005C5C32" w:rsidP="005C5C32">
      <w:pPr>
        <w:pStyle w:val="ae"/>
        <w:numPr>
          <w:ilvl w:val="0"/>
          <w:numId w:val="12"/>
        </w:numPr>
        <w:ind w:left="1077" w:hanging="357"/>
        <w:jc w:val="both"/>
        <w:rPr>
          <w:bCs/>
          <w:i/>
          <w:shd w:val="clear" w:color="auto" w:fill="FFFFFF"/>
        </w:rPr>
      </w:pPr>
      <w:r>
        <w:rPr>
          <w:bCs/>
          <w:i/>
          <w:shd w:val="clear" w:color="auto" w:fill="FFFFFF"/>
        </w:rPr>
        <w:t>Конвенцією про цивільно-правові аспекти міжнародного викрадення дітей від 29.04.2011;</w:t>
      </w:r>
    </w:p>
    <w:p w:rsidR="005C5C32" w:rsidRDefault="005C5C32" w:rsidP="005C5C32">
      <w:pPr>
        <w:pStyle w:val="ae"/>
        <w:numPr>
          <w:ilvl w:val="0"/>
          <w:numId w:val="12"/>
        </w:numPr>
        <w:ind w:left="1077" w:hanging="357"/>
        <w:rPr>
          <w:rStyle w:val="af0"/>
          <w:iCs w:val="0"/>
        </w:rPr>
      </w:pPr>
      <w:r>
        <w:rPr>
          <w:i/>
        </w:rPr>
        <w:t xml:space="preserve">Регламентом Європейського суду справедливості </w:t>
      </w:r>
      <w:r>
        <w:rPr>
          <w:lang w:val="ru-RU"/>
        </w:rPr>
        <w:t>(</w:t>
      </w:r>
      <w:r>
        <w:rPr>
          <w:rStyle w:val="af0"/>
          <w:shd w:val="clear" w:color="auto" w:fill="FFFFFF"/>
          <w:lang w:val="en-US"/>
        </w:rPr>
        <w:t>Official</w:t>
      </w:r>
      <w:r>
        <w:rPr>
          <w:rStyle w:val="af0"/>
          <w:shd w:val="clear" w:color="auto" w:fill="FFFFFF"/>
          <w:lang w:val="ru-RU"/>
        </w:rPr>
        <w:t xml:space="preserve"> </w:t>
      </w:r>
      <w:r>
        <w:rPr>
          <w:rStyle w:val="af0"/>
          <w:shd w:val="clear" w:color="auto" w:fill="FFFFFF"/>
          <w:lang w:val="en-US"/>
        </w:rPr>
        <w:t>Journal</w:t>
      </w:r>
      <w:r>
        <w:rPr>
          <w:rStyle w:val="af0"/>
          <w:shd w:val="clear" w:color="auto" w:fill="FFFFFF"/>
        </w:rPr>
        <w:t xml:space="preserve"> L 265, 29.09.2012, p. 1–42</w:t>
      </w:r>
      <w:r>
        <w:rPr>
          <w:rStyle w:val="af0"/>
          <w:shd w:val="clear" w:color="auto" w:fill="FFFFFF"/>
          <w:lang w:val="ru-RU"/>
        </w:rPr>
        <w:t>)</w:t>
      </w:r>
    </w:p>
    <w:p w:rsidR="005C5C32" w:rsidRDefault="005C5C32" w:rsidP="005C5C32">
      <w:pPr>
        <w:pStyle w:val="ae"/>
        <w:numPr>
          <w:ilvl w:val="0"/>
          <w:numId w:val="12"/>
        </w:numPr>
        <w:ind w:left="1077" w:hanging="357"/>
        <w:rPr>
          <w:i/>
        </w:rPr>
      </w:pPr>
      <w:r>
        <w:rPr>
          <w:i/>
        </w:rPr>
        <w:t xml:space="preserve">Регламентом Суду загальної юрисдикції </w:t>
      </w:r>
      <w:r>
        <w:t>(</w:t>
      </w:r>
      <w:r>
        <w:rPr>
          <w:rStyle w:val="af0"/>
          <w:shd w:val="clear" w:color="auto" w:fill="FFFFFF"/>
          <w:lang w:val="en-US"/>
        </w:rPr>
        <w:t>Official</w:t>
      </w:r>
      <w:r w:rsidRPr="005C5C32">
        <w:rPr>
          <w:rStyle w:val="af0"/>
          <w:shd w:val="clear" w:color="auto" w:fill="FFFFFF"/>
        </w:rPr>
        <w:t xml:space="preserve"> </w:t>
      </w:r>
      <w:r>
        <w:rPr>
          <w:rStyle w:val="af0"/>
          <w:shd w:val="clear" w:color="auto" w:fill="FFFFFF"/>
          <w:lang w:val="en-US"/>
        </w:rPr>
        <w:t>Journal</w:t>
      </w:r>
      <w:r>
        <w:rPr>
          <w:rStyle w:val="af0"/>
          <w:shd w:val="clear" w:color="auto" w:fill="FFFFFF"/>
        </w:rPr>
        <w:t xml:space="preserve"> L 105, 23.04.2015, p. 1–66)</w:t>
      </w:r>
    </w:p>
    <w:p w:rsidR="005C5C32" w:rsidRDefault="005C5C32" w:rsidP="005C5C32">
      <w:pPr>
        <w:pStyle w:val="ae"/>
        <w:numPr>
          <w:ilvl w:val="0"/>
          <w:numId w:val="12"/>
        </w:numPr>
        <w:ind w:left="1077" w:hanging="357"/>
        <w:rPr>
          <w:i/>
        </w:rPr>
      </w:pPr>
      <w:r>
        <w:rPr>
          <w:bCs/>
          <w:i/>
        </w:rPr>
        <w:t>Договором про Європейський Союз від 13.12.2007.</w:t>
      </w:r>
    </w:p>
    <w:p w:rsidR="005C5C32" w:rsidRPr="005C5C32" w:rsidRDefault="005C5C32" w:rsidP="005C5C32">
      <w:pPr>
        <w:ind w:left="720"/>
        <w:rPr>
          <w:i/>
          <w:lang w:val="ru-RU"/>
        </w:rPr>
      </w:pPr>
    </w:p>
    <w:p w:rsidR="005C5C32" w:rsidRDefault="005C5C32" w:rsidP="005C5C32">
      <w:pPr>
        <w:pStyle w:val="ae"/>
        <w:jc w:val="both"/>
        <w:rPr>
          <w:b/>
        </w:rPr>
      </w:pPr>
      <w:r>
        <w:rPr>
          <w:rFonts w:eastAsia="Verdana"/>
          <w:b/>
          <w:bCs/>
        </w:rPr>
        <w:t>3.  </w:t>
      </w:r>
      <w:r>
        <w:rPr>
          <w:b/>
        </w:rPr>
        <w:t>Відповідність законопроекту праву ЄС.</w:t>
      </w:r>
    </w:p>
    <w:p w:rsidR="005C5C32" w:rsidRDefault="005C5C32" w:rsidP="005C5C32">
      <w:pPr>
        <w:pStyle w:val="10"/>
        <w:tabs>
          <w:tab w:val="left" w:pos="851"/>
        </w:tabs>
        <w:spacing w:before="120" w:after="120" w:line="240" w:lineRule="auto"/>
        <w:ind w:left="0"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 результатами правового аналізу проекту Закону щодо його відповідності </w:t>
      </w:r>
      <w:proofErr w:type="spellStart"/>
      <w:r>
        <w:rPr>
          <w:rFonts w:ascii="Times New Roman" w:eastAsia="Times New Roman" w:hAnsi="Times New Roman"/>
          <w:sz w:val="28"/>
          <w:szCs w:val="28"/>
          <w:lang w:val="uk-UA" w:eastAsia="ru-RU"/>
        </w:rPr>
        <w:t>aquis</w:t>
      </w:r>
      <w:proofErr w:type="spellEnd"/>
      <w:r>
        <w:rPr>
          <w:rFonts w:ascii="Times New Roman" w:eastAsia="Times New Roman" w:hAnsi="Times New Roman"/>
          <w:sz w:val="28"/>
          <w:szCs w:val="28"/>
          <w:lang w:val="uk-UA" w:eastAsia="ru-RU"/>
        </w:rPr>
        <w:t xml:space="preserve"> ЄС та Угоді про асоціацію слід зазначити таке.</w:t>
      </w:r>
    </w:p>
    <w:p w:rsidR="005C5C32" w:rsidRDefault="005C5C32" w:rsidP="005C5C32">
      <w:pPr>
        <w:spacing w:before="120" w:after="120"/>
        <w:ind w:firstLine="567"/>
        <w:jc w:val="both"/>
        <w:rPr>
          <w:lang w:val="uk-UA"/>
        </w:rPr>
      </w:pPr>
      <w:r w:rsidRPr="005C5C32">
        <w:rPr>
          <w:lang w:val="ru-RU"/>
        </w:rPr>
        <w:t xml:space="preserve">Стаття 1 пункт </w:t>
      </w:r>
      <w:r>
        <w:t>e</w:t>
      </w:r>
      <w:r w:rsidRPr="005C5C32">
        <w:rPr>
          <w:lang w:val="ru-RU"/>
        </w:rPr>
        <w:t xml:space="preserve"> Угоди про асоціацію визначає, що Україна та ЄС домовились посилювати співробітництво у сфері юстиції, свободи та безпеки з метою забезпечення верховенства права та поваги до прав людини і основоположних свобод, адже відповідно до статті 2 Розділу </w:t>
      </w:r>
      <w:r>
        <w:t>I</w:t>
      </w:r>
      <w:r w:rsidRPr="005C5C32">
        <w:rPr>
          <w:lang w:val="ru-RU"/>
        </w:rPr>
        <w:t xml:space="preserve"> Угоди, повага до демократичних принципів, прав людини та основоположних свобод, а також повага </w:t>
      </w:r>
      <w:proofErr w:type="gramStart"/>
      <w:r w:rsidRPr="005C5C32">
        <w:rPr>
          <w:lang w:val="ru-RU"/>
        </w:rPr>
        <w:t>до принципу</w:t>
      </w:r>
      <w:proofErr w:type="gramEnd"/>
      <w:r w:rsidRPr="005C5C32">
        <w:rPr>
          <w:lang w:val="ru-RU"/>
        </w:rPr>
        <w:t xml:space="preserve"> верховенства права повинні формувати основу внутрішньої та зовнішньої політики Сторін і є основними елементами цієї Угоди. Отже, законопроект </w:t>
      </w:r>
      <w:r w:rsidRPr="005C5C32">
        <w:rPr>
          <w:i/>
          <w:u w:val="single"/>
          <w:lang w:val="ru-RU"/>
        </w:rPr>
        <w:t>не суперечить</w:t>
      </w:r>
      <w:r w:rsidRPr="005C5C32">
        <w:rPr>
          <w:lang w:val="ru-RU"/>
        </w:rPr>
        <w:t xml:space="preserve"> цілям Угоди про асоціацію.</w:t>
      </w:r>
    </w:p>
    <w:p w:rsidR="005C5C32" w:rsidRDefault="005C5C32" w:rsidP="005C5C32">
      <w:pPr>
        <w:pStyle w:val="rvps2"/>
        <w:shd w:val="clear" w:color="auto" w:fill="FFFFFF"/>
        <w:spacing w:before="0" w:beforeAutospacing="0" w:after="150" w:afterAutospacing="0"/>
        <w:ind w:firstLine="450"/>
        <w:jc w:val="both"/>
        <w:rPr>
          <w:color w:val="000000"/>
          <w:sz w:val="28"/>
          <w:szCs w:val="28"/>
          <w:lang w:val="ru-RU"/>
        </w:rPr>
      </w:pPr>
      <w:r>
        <w:rPr>
          <w:sz w:val="28"/>
          <w:szCs w:val="28"/>
          <w:lang w:val="uk-UA"/>
        </w:rPr>
        <w:t xml:space="preserve">Метою даного проекту Закону, як зазначено у пояснювальній записці, є  «створення законодавчих умов для ефективного виконання Україною міжнародних зобов’язань, взятих відповідно до Гаазької конвенції, прийняття яких дозволить ефективно та у визначені Гаазькою конвенцією строки розглядати зазначену категорію справ у судах України, забезпечувати виконання винесених судових рішень та притягнути до відповідальності осіб, які незаконно вивозять та утримують дітей за межами України». </w:t>
      </w:r>
      <w:proofErr w:type="spellStart"/>
      <w:r>
        <w:rPr>
          <w:sz w:val="28"/>
          <w:szCs w:val="28"/>
          <w:lang w:val="ru-RU"/>
        </w:rPr>
        <w:t>Зважаючи</w:t>
      </w:r>
      <w:proofErr w:type="spellEnd"/>
      <w:r>
        <w:rPr>
          <w:sz w:val="28"/>
          <w:szCs w:val="28"/>
          <w:lang w:val="ru-RU"/>
        </w:rPr>
        <w:t xml:space="preserve"> на </w:t>
      </w:r>
      <w:proofErr w:type="spellStart"/>
      <w:r>
        <w:rPr>
          <w:sz w:val="28"/>
          <w:szCs w:val="28"/>
          <w:lang w:val="ru-RU"/>
        </w:rPr>
        <w:t>вищезазначене</w:t>
      </w:r>
      <w:proofErr w:type="spellEnd"/>
      <w:r>
        <w:rPr>
          <w:sz w:val="28"/>
          <w:szCs w:val="28"/>
          <w:lang w:val="ru-RU"/>
        </w:rPr>
        <w:t xml:space="preserve">, мета </w:t>
      </w:r>
      <w:proofErr w:type="spellStart"/>
      <w:r>
        <w:rPr>
          <w:sz w:val="28"/>
          <w:szCs w:val="28"/>
          <w:lang w:val="ru-RU"/>
        </w:rPr>
        <w:t>даного</w:t>
      </w:r>
      <w:proofErr w:type="spellEnd"/>
      <w:r>
        <w:rPr>
          <w:sz w:val="28"/>
          <w:szCs w:val="28"/>
          <w:lang w:val="ru-RU"/>
        </w:rPr>
        <w:t xml:space="preserve"> законопроекту </w:t>
      </w:r>
      <w:proofErr w:type="spellStart"/>
      <w:r>
        <w:rPr>
          <w:i/>
          <w:sz w:val="28"/>
          <w:szCs w:val="28"/>
          <w:u w:val="single"/>
          <w:lang w:val="ru-RU"/>
        </w:rPr>
        <w:t>відповідає</w:t>
      </w:r>
      <w:proofErr w:type="spellEnd"/>
      <w:r>
        <w:rPr>
          <w:sz w:val="28"/>
          <w:szCs w:val="28"/>
          <w:lang w:val="ru-RU"/>
        </w:rPr>
        <w:t xml:space="preserve"> пункту а</w:t>
      </w:r>
      <w:r>
        <w:rPr>
          <w:sz w:val="28"/>
          <w:szCs w:val="28"/>
          <w:lang w:val="uk-UA"/>
        </w:rPr>
        <w:t xml:space="preserve"> частини 2 </w:t>
      </w:r>
      <w:proofErr w:type="spellStart"/>
      <w:r>
        <w:rPr>
          <w:sz w:val="28"/>
          <w:szCs w:val="28"/>
          <w:lang w:val="ru-RU"/>
        </w:rPr>
        <w:t>статті</w:t>
      </w:r>
      <w:proofErr w:type="spellEnd"/>
      <w:r>
        <w:rPr>
          <w:sz w:val="28"/>
          <w:szCs w:val="28"/>
          <w:lang w:val="ru-RU"/>
        </w:rPr>
        <w:t xml:space="preserve"> 22 та </w:t>
      </w:r>
      <w:proofErr w:type="spellStart"/>
      <w:r>
        <w:rPr>
          <w:sz w:val="28"/>
          <w:szCs w:val="28"/>
          <w:lang w:val="ru-RU"/>
        </w:rPr>
        <w:t>статті</w:t>
      </w:r>
      <w:proofErr w:type="spellEnd"/>
      <w:r>
        <w:rPr>
          <w:sz w:val="28"/>
          <w:szCs w:val="28"/>
          <w:lang w:val="ru-RU"/>
        </w:rPr>
        <w:t xml:space="preserve"> 24 Угоди про </w:t>
      </w:r>
      <w:proofErr w:type="spellStart"/>
      <w:r>
        <w:rPr>
          <w:sz w:val="28"/>
          <w:szCs w:val="28"/>
          <w:lang w:val="ru-RU"/>
        </w:rPr>
        <w:t>асоціацію</w:t>
      </w:r>
      <w:proofErr w:type="spellEnd"/>
      <w:r>
        <w:rPr>
          <w:sz w:val="28"/>
          <w:szCs w:val="28"/>
          <w:lang w:val="ru-RU"/>
        </w:rPr>
        <w:t xml:space="preserve"> у </w:t>
      </w:r>
      <w:proofErr w:type="spellStart"/>
      <w:r>
        <w:rPr>
          <w:sz w:val="28"/>
          <w:szCs w:val="28"/>
          <w:lang w:val="ru-RU"/>
        </w:rPr>
        <w:t>частині</w:t>
      </w:r>
      <w:proofErr w:type="spellEnd"/>
      <w:r>
        <w:rPr>
          <w:sz w:val="28"/>
          <w:szCs w:val="28"/>
          <w:lang w:val="ru-RU"/>
        </w:rPr>
        <w:t xml:space="preserve"> </w:t>
      </w:r>
      <w:proofErr w:type="spellStart"/>
      <w:r>
        <w:rPr>
          <w:sz w:val="28"/>
          <w:szCs w:val="28"/>
          <w:lang w:val="ru-RU"/>
        </w:rPr>
        <w:t>співробітництва</w:t>
      </w:r>
      <w:proofErr w:type="spellEnd"/>
      <w:r>
        <w:rPr>
          <w:sz w:val="28"/>
          <w:szCs w:val="28"/>
          <w:lang w:val="ru-RU"/>
        </w:rPr>
        <w:t xml:space="preserve"> </w:t>
      </w:r>
      <w:proofErr w:type="spellStart"/>
      <w:r>
        <w:rPr>
          <w:sz w:val="28"/>
          <w:szCs w:val="28"/>
          <w:lang w:val="ru-RU"/>
        </w:rPr>
        <w:t>Сторін</w:t>
      </w:r>
      <w:proofErr w:type="spellEnd"/>
      <w:r>
        <w:rPr>
          <w:sz w:val="28"/>
          <w:szCs w:val="28"/>
          <w:lang w:val="ru-RU"/>
        </w:rPr>
        <w:t xml:space="preserve">, </w:t>
      </w:r>
      <w:proofErr w:type="spellStart"/>
      <w:r>
        <w:rPr>
          <w:sz w:val="28"/>
          <w:szCs w:val="28"/>
          <w:lang w:val="ru-RU"/>
        </w:rPr>
        <w:t>спрямованого</w:t>
      </w:r>
      <w:proofErr w:type="spellEnd"/>
      <w:r>
        <w:rPr>
          <w:sz w:val="28"/>
          <w:szCs w:val="28"/>
          <w:lang w:val="ru-RU"/>
        </w:rPr>
        <w:t xml:space="preserve"> на </w:t>
      </w:r>
      <w:proofErr w:type="spellStart"/>
      <w:r>
        <w:rPr>
          <w:sz w:val="28"/>
          <w:szCs w:val="28"/>
          <w:lang w:val="ru-RU"/>
        </w:rPr>
        <w:t>вирішення</w:t>
      </w:r>
      <w:proofErr w:type="spellEnd"/>
      <w:r>
        <w:rPr>
          <w:sz w:val="28"/>
          <w:szCs w:val="28"/>
          <w:lang w:val="ru-RU"/>
        </w:rPr>
        <w:t xml:space="preserve">, </w:t>
      </w:r>
      <w:r>
        <w:rPr>
          <w:sz w:val="28"/>
          <w:szCs w:val="28"/>
        </w:rPr>
        <w:t>inter</w:t>
      </w:r>
      <w:r>
        <w:rPr>
          <w:sz w:val="28"/>
          <w:szCs w:val="28"/>
          <w:lang w:val="ru-RU"/>
        </w:rPr>
        <w:t xml:space="preserve"> </w:t>
      </w:r>
      <w:r>
        <w:rPr>
          <w:sz w:val="28"/>
          <w:szCs w:val="28"/>
        </w:rPr>
        <w:t>alia</w:t>
      </w:r>
      <w:r>
        <w:rPr>
          <w:sz w:val="28"/>
          <w:szCs w:val="28"/>
          <w:lang w:val="ru-RU"/>
        </w:rPr>
        <w:t xml:space="preserve">, </w:t>
      </w:r>
      <w:r>
        <w:rPr>
          <w:sz w:val="28"/>
          <w:szCs w:val="28"/>
          <w:lang w:val="ru-RU"/>
        </w:rPr>
        <w:lastRenderedPageBreak/>
        <w:t xml:space="preserve">таких проблем, як </w:t>
      </w:r>
      <w:proofErr w:type="spellStart"/>
      <w:r>
        <w:rPr>
          <w:sz w:val="28"/>
          <w:szCs w:val="28"/>
          <w:lang w:val="ru-RU"/>
        </w:rPr>
        <w:t>незаконне</w:t>
      </w:r>
      <w:proofErr w:type="spellEnd"/>
      <w:r>
        <w:rPr>
          <w:sz w:val="28"/>
          <w:szCs w:val="28"/>
          <w:lang w:val="ru-RU"/>
        </w:rPr>
        <w:t xml:space="preserve"> </w:t>
      </w:r>
      <w:proofErr w:type="spellStart"/>
      <w:r>
        <w:rPr>
          <w:sz w:val="28"/>
          <w:szCs w:val="28"/>
          <w:lang w:val="ru-RU"/>
        </w:rPr>
        <w:t>переправлення</w:t>
      </w:r>
      <w:proofErr w:type="spellEnd"/>
      <w:r>
        <w:rPr>
          <w:sz w:val="28"/>
          <w:szCs w:val="28"/>
          <w:lang w:val="ru-RU"/>
        </w:rPr>
        <w:t xml:space="preserve"> через </w:t>
      </w:r>
      <w:proofErr w:type="spellStart"/>
      <w:r>
        <w:rPr>
          <w:sz w:val="28"/>
          <w:szCs w:val="28"/>
          <w:lang w:val="ru-RU"/>
        </w:rPr>
        <w:t>державний</w:t>
      </w:r>
      <w:proofErr w:type="spellEnd"/>
      <w:r>
        <w:rPr>
          <w:sz w:val="28"/>
          <w:szCs w:val="28"/>
          <w:lang w:val="ru-RU"/>
        </w:rPr>
        <w:t xml:space="preserve"> кордон </w:t>
      </w:r>
      <w:proofErr w:type="spellStart"/>
      <w:r>
        <w:rPr>
          <w:sz w:val="28"/>
          <w:szCs w:val="28"/>
          <w:lang w:val="ru-RU"/>
        </w:rPr>
        <w:t>нелегальних</w:t>
      </w:r>
      <w:proofErr w:type="spellEnd"/>
      <w:r>
        <w:rPr>
          <w:sz w:val="28"/>
          <w:szCs w:val="28"/>
          <w:lang w:val="ru-RU"/>
        </w:rPr>
        <w:t xml:space="preserve"> </w:t>
      </w:r>
      <w:proofErr w:type="spellStart"/>
      <w:r>
        <w:rPr>
          <w:sz w:val="28"/>
          <w:szCs w:val="28"/>
          <w:lang w:val="ru-RU"/>
        </w:rPr>
        <w:t>мігрантів</w:t>
      </w:r>
      <w:proofErr w:type="spellEnd"/>
      <w:r>
        <w:rPr>
          <w:sz w:val="28"/>
          <w:szCs w:val="28"/>
          <w:lang w:val="ru-RU"/>
        </w:rPr>
        <w:t xml:space="preserve">, </w:t>
      </w:r>
      <w:proofErr w:type="spellStart"/>
      <w:r>
        <w:rPr>
          <w:sz w:val="28"/>
          <w:szCs w:val="28"/>
          <w:lang w:val="ru-RU"/>
        </w:rPr>
        <w:t>торгівля</w:t>
      </w:r>
      <w:proofErr w:type="spellEnd"/>
      <w:r>
        <w:rPr>
          <w:sz w:val="28"/>
          <w:szCs w:val="28"/>
          <w:lang w:val="ru-RU"/>
        </w:rPr>
        <w:t xml:space="preserve"> людьми, а </w:t>
      </w:r>
      <w:proofErr w:type="spellStart"/>
      <w:r>
        <w:rPr>
          <w:sz w:val="28"/>
          <w:szCs w:val="28"/>
          <w:lang w:val="ru-RU"/>
        </w:rPr>
        <w:t>також</w:t>
      </w:r>
      <w:proofErr w:type="spellEnd"/>
      <w:r>
        <w:rPr>
          <w:sz w:val="28"/>
          <w:szCs w:val="28"/>
          <w:lang w:val="ru-RU"/>
        </w:rPr>
        <w:t xml:space="preserve"> у </w:t>
      </w:r>
      <w:proofErr w:type="spellStart"/>
      <w:r>
        <w:rPr>
          <w:sz w:val="28"/>
          <w:szCs w:val="28"/>
          <w:lang w:val="ru-RU"/>
        </w:rPr>
        <w:t>частині</w:t>
      </w:r>
      <w:proofErr w:type="spellEnd"/>
      <w:r>
        <w:rPr>
          <w:sz w:val="28"/>
          <w:szCs w:val="28"/>
          <w:lang w:val="ru-RU"/>
        </w:rPr>
        <w:t xml:space="preserve"> </w:t>
      </w:r>
      <w:proofErr w:type="spellStart"/>
      <w:r>
        <w:rPr>
          <w:sz w:val="28"/>
          <w:szCs w:val="28"/>
          <w:lang w:val="ru-RU"/>
        </w:rPr>
        <w:t>щодо</w:t>
      </w:r>
      <w:proofErr w:type="spellEnd"/>
      <w:r>
        <w:rPr>
          <w:sz w:val="28"/>
          <w:szCs w:val="28"/>
          <w:lang w:val="ru-RU"/>
        </w:rPr>
        <w:t xml:space="preserve"> </w:t>
      </w:r>
      <w:proofErr w:type="spellStart"/>
      <w:r>
        <w:rPr>
          <w:sz w:val="28"/>
          <w:szCs w:val="28"/>
          <w:lang w:val="ru-RU"/>
        </w:rPr>
        <w:t>подальшого</w:t>
      </w:r>
      <w:proofErr w:type="spellEnd"/>
      <w:r>
        <w:rPr>
          <w:sz w:val="28"/>
          <w:szCs w:val="28"/>
          <w:lang w:val="ru-RU"/>
        </w:rPr>
        <w:t xml:space="preserve"> </w:t>
      </w:r>
      <w:proofErr w:type="spellStart"/>
      <w:r>
        <w:rPr>
          <w:sz w:val="28"/>
          <w:szCs w:val="28"/>
          <w:lang w:val="ru-RU"/>
        </w:rPr>
        <w:t>розвитку</w:t>
      </w:r>
      <w:proofErr w:type="spellEnd"/>
      <w:r>
        <w:rPr>
          <w:sz w:val="28"/>
          <w:szCs w:val="28"/>
          <w:lang w:val="ru-RU"/>
        </w:rPr>
        <w:t xml:space="preserve"> судового </w:t>
      </w:r>
      <w:proofErr w:type="spellStart"/>
      <w:r>
        <w:rPr>
          <w:sz w:val="28"/>
          <w:szCs w:val="28"/>
          <w:lang w:val="ru-RU"/>
        </w:rPr>
        <w:t>співробітництва</w:t>
      </w:r>
      <w:proofErr w:type="spellEnd"/>
      <w:r>
        <w:rPr>
          <w:sz w:val="28"/>
          <w:szCs w:val="28"/>
          <w:lang w:val="ru-RU"/>
        </w:rPr>
        <w:t xml:space="preserve"> у </w:t>
      </w:r>
      <w:proofErr w:type="spellStart"/>
      <w:r>
        <w:rPr>
          <w:sz w:val="28"/>
          <w:szCs w:val="28"/>
          <w:lang w:val="ru-RU"/>
        </w:rPr>
        <w:t>цивільних</w:t>
      </w:r>
      <w:proofErr w:type="spellEnd"/>
      <w:r>
        <w:rPr>
          <w:sz w:val="28"/>
          <w:szCs w:val="28"/>
          <w:lang w:val="ru-RU"/>
        </w:rPr>
        <w:t xml:space="preserve"> та </w:t>
      </w:r>
      <w:proofErr w:type="spellStart"/>
      <w:r>
        <w:rPr>
          <w:sz w:val="28"/>
          <w:szCs w:val="28"/>
          <w:lang w:val="ru-RU"/>
        </w:rPr>
        <w:t>кримінальних</w:t>
      </w:r>
      <w:proofErr w:type="spellEnd"/>
      <w:r>
        <w:rPr>
          <w:sz w:val="28"/>
          <w:szCs w:val="28"/>
          <w:lang w:val="ru-RU"/>
        </w:rPr>
        <w:t xml:space="preserve"> справах, </w:t>
      </w:r>
      <w:proofErr w:type="spellStart"/>
      <w:r>
        <w:rPr>
          <w:sz w:val="28"/>
          <w:szCs w:val="28"/>
          <w:lang w:val="ru-RU"/>
        </w:rPr>
        <w:t>повною</w:t>
      </w:r>
      <w:proofErr w:type="spellEnd"/>
      <w:r>
        <w:rPr>
          <w:sz w:val="28"/>
          <w:szCs w:val="28"/>
          <w:lang w:val="ru-RU"/>
        </w:rPr>
        <w:t xml:space="preserve"> </w:t>
      </w:r>
      <w:proofErr w:type="spellStart"/>
      <w:r>
        <w:rPr>
          <w:sz w:val="28"/>
          <w:szCs w:val="28"/>
          <w:lang w:val="ru-RU"/>
        </w:rPr>
        <w:t>мірою</w:t>
      </w:r>
      <w:proofErr w:type="spellEnd"/>
      <w:r>
        <w:rPr>
          <w:sz w:val="28"/>
          <w:szCs w:val="28"/>
          <w:lang w:val="ru-RU"/>
        </w:rPr>
        <w:t xml:space="preserve"> </w:t>
      </w:r>
      <w:proofErr w:type="spellStart"/>
      <w:r>
        <w:rPr>
          <w:sz w:val="28"/>
          <w:szCs w:val="28"/>
          <w:lang w:val="ru-RU"/>
        </w:rPr>
        <w:t>використовуючи</w:t>
      </w:r>
      <w:proofErr w:type="spellEnd"/>
      <w:r>
        <w:rPr>
          <w:sz w:val="28"/>
          <w:szCs w:val="28"/>
          <w:lang w:val="ru-RU"/>
        </w:rPr>
        <w:t xml:space="preserve"> </w:t>
      </w:r>
      <w:proofErr w:type="spellStart"/>
      <w:r>
        <w:rPr>
          <w:sz w:val="28"/>
          <w:szCs w:val="28"/>
          <w:lang w:val="ru-RU"/>
        </w:rPr>
        <w:t>відповідні</w:t>
      </w:r>
      <w:proofErr w:type="spellEnd"/>
      <w:r>
        <w:rPr>
          <w:sz w:val="28"/>
          <w:szCs w:val="28"/>
          <w:lang w:val="ru-RU"/>
        </w:rPr>
        <w:t xml:space="preserve"> </w:t>
      </w:r>
      <w:proofErr w:type="spellStart"/>
      <w:r>
        <w:rPr>
          <w:sz w:val="28"/>
          <w:szCs w:val="28"/>
          <w:lang w:val="ru-RU"/>
        </w:rPr>
        <w:t>міжнародні</w:t>
      </w:r>
      <w:proofErr w:type="spellEnd"/>
      <w:r>
        <w:rPr>
          <w:sz w:val="28"/>
          <w:szCs w:val="28"/>
          <w:lang w:val="ru-RU"/>
        </w:rPr>
        <w:t xml:space="preserve"> і </w:t>
      </w:r>
      <w:proofErr w:type="spellStart"/>
      <w:r>
        <w:rPr>
          <w:sz w:val="28"/>
          <w:szCs w:val="28"/>
          <w:lang w:val="ru-RU"/>
        </w:rPr>
        <w:t>двосторонні</w:t>
      </w:r>
      <w:proofErr w:type="spellEnd"/>
      <w:r>
        <w:rPr>
          <w:sz w:val="28"/>
          <w:szCs w:val="28"/>
          <w:lang w:val="ru-RU"/>
        </w:rPr>
        <w:t xml:space="preserve"> </w:t>
      </w:r>
      <w:proofErr w:type="spellStart"/>
      <w:r>
        <w:rPr>
          <w:sz w:val="28"/>
          <w:szCs w:val="28"/>
          <w:lang w:val="ru-RU"/>
        </w:rPr>
        <w:t>документи</w:t>
      </w:r>
      <w:proofErr w:type="spellEnd"/>
      <w:r>
        <w:rPr>
          <w:sz w:val="28"/>
          <w:szCs w:val="28"/>
          <w:lang w:val="ru-RU"/>
        </w:rPr>
        <w:t xml:space="preserve"> та </w:t>
      </w:r>
      <w:proofErr w:type="spellStart"/>
      <w:r>
        <w:rPr>
          <w:sz w:val="28"/>
          <w:szCs w:val="28"/>
          <w:lang w:val="ru-RU"/>
        </w:rPr>
        <w:t>ґрунтуючись</w:t>
      </w:r>
      <w:proofErr w:type="spellEnd"/>
      <w:r>
        <w:rPr>
          <w:sz w:val="28"/>
          <w:szCs w:val="28"/>
          <w:lang w:val="ru-RU"/>
        </w:rPr>
        <w:t xml:space="preserve"> на принципах </w:t>
      </w:r>
      <w:proofErr w:type="spellStart"/>
      <w:r>
        <w:rPr>
          <w:sz w:val="28"/>
          <w:szCs w:val="28"/>
          <w:lang w:val="ru-RU"/>
        </w:rPr>
        <w:t>юридичної</w:t>
      </w:r>
      <w:proofErr w:type="spellEnd"/>
      <w:r>
        <w:rPr>
          <w:sz w:val="28"/>
          <w:szCs w:val="28"/>
          <w:lang w:val="ru-RU"/>
        </w:rPr>
        <w:t xml:space="preserve"> </w:t>
      </w:r>
      <w:proofErr w:type="spellStart"/>
      <w:r>
        <w:rPr>
          <w:sz w:val="28"/>
          <w:szCs w:val="28"/>
          <w:lang w:val="ru-RU"/>
        </w:rPr>
        <w:t>визначеності</w:t>
      </w:r>
      <w:proofErr w:type="spellEnd"/>
      <w:r>
        <w:rPr>
          <w:sz w:val="28"/>
          <w:szCs w:val="28"/>
          <w:lang w:val="ru-RU"/>
        </w:rPr>
        <w:t xml:space="preserve"> і </w:t>
      </w:r>
      <w:proofErr w:type="spellStart"/>
      <w:r>
        <w:rPr>
          <w:sz w:val="28"/>
          <w:szCs w:val="28"/>
          <w:lang w:val="ru-RU"/>
        </w:rPr>
        <w:t>праві</w:t>
      </w:r>
      <w:proofErr w:type="spellEnd"/>
      <w:r>
        <w:rPr>
          <w:sz w:val="28"/>
          <w:szCs w:val="28"/>
          <w:lang w:val="ru-RU"/>
        </w:rPr>
        <w:t xml:space="preserve"> на </w:t>
      </w:r>
      <w:proofErr w:type="spellStart"/>
      <w:r>
        <w:rPr>
          <w:sz w:val="28"/>
          <w:szCs w:val="28"/>
          <w:lang w:val="ru-RU"/>
        </w:rPr>
        <w:t>справедливий</w:t>
      </w:r>
      <w:proofErr w:type="spellEnd"/>
      <w:r>
        <w:rPr>
          <w:sz w:val="28"/>
          <w:szCs w:val="28"/>
          <w:lang w:val="ru-RU"/>
        </w:rPr>
        <w:t xml:space="preserve"> суд, </w:t>
      </w:r>
      <w:proofErr w:type="spellStart"/>
      <w:r>
        <w:rPr>
          <w:sz w:val="28"/>
          <w:szCs w:val="28"/>
          <w:lang w:val="ru-RU"/>
        </w:rPr>
        <w:t>відповідно</w:t>
      </w:r>
      <w:proofErr w:type="spellEnd"/>
      <w:r>
        <w:rPr>
          <w:sz w:val="28"/>
          <w:szCs w:val="28"/>
          <w:lang w:val="ru-RU"/>
        </w:rPr>
        <w:t xml:space="preserve">. </w:t>
      </w:r>
      <w:proofErr w:type="spellStart"/>
      <w:r>
        <w:rPr>
          <w:sz w:val="28"/>
          <w:szCs w:val="28"/>
          <w:lang w:val="ru-RU"/>
        </w:rPr>
        <w:t>Також</w:t>
      </w:r>
      <w:proofErr w:type="spellEnd"/>
      <w:r>
        <w:rPr>
          <w:sz w:val="28"/>
          <w:szCs w:val="28"/>
          <w:lang w:val="ru-RU"/>
        </w:rPr>
        <w:t xml:space="preserve">, мета проекту Закону </w:t>
      </w:r>
      <w:proofErr w:type="spellStart"/>
      <w:r>
        <w:rPr>
          <w:i/>
          <w:sz w:val="28"/>
          <w:szCs w:val="28"/>
          <w:u w:val="single"/>
          <w:lang w:val="ru-RU"/>
        </w:rPr>
        <w:t>відповідає</w:t>
      </w:r>
      <w:proofErr w:type="spellEnd"/>
      <w:r>
        <w:rPr>
          <w:sz w:val="28"/>
          <w:szCs w:val="28"/>
          <w:lang w:val="ru-RU"/>
        </w:rPr>
        <w:t xml:space="preserve"> </w:t>
      </w:r>
      <w:proofErr w:type="spellStart"/>
      <w:r>
        <w:rPr>
          <w:sz w:val="28"/>
          <w:szCs w:val="28"/>
          <w:lang w:val="ru-RU"/>
        </w:rPr>
        <w:t>статті</w:t>
      </w:r>
      <w:proofErr w:type="spellEnd"/>
      <w:r>
        <w:rPr>
          <w:sz w:val="28"/>
          <w:szCs w:val="28"/>
          <w:lang w:val="ru-RU"/>
        </w:rPr>
        <w:t xml:space="preserve"> 11 </w:t>
      </w:r>
      <w:proofErr w:type="spellStart"/>
      <w:r>
        <w:rPr>
          <w:sz w:val="28"/>
          <w:szCs w:val="28"/>
          <w:lang w:val="ru-RU"/>
        </w:rPr>
        <w:t>Конвенції</w:t>
      </w:r>
      <w:proofErr w:type="spellEnd"/>
      <w:r>
        <w:rPr>
          <w:sz w:val="28"/>
          <w:szCs w:val="28"/>
          <w:lang w:val="ru-RU"/>
        </w:rPr>
        <w:t xml:space="preserve"> про права </w:t>
      </w:r>
      <w:proofErr w:type="spellStart"/>
      <w:r>
        <w:rPr>
          <w:sz w:val="28"/>
          <w:szCs w:val="28"/>
          <w:lang w:val="ru-RU"/>
        </w:rPr>
        <w:t>дитини</w:t>
      </w:r>
      <w:proofErr w:type="spellEnd"/>
      <w:r>
        <w:rPr>
          <w:sz w:val="28"/>
          <w:szCs w:val="28"/>
          <w:lang w:val="ru-RU"/>
        </w:rPr>
        <w:t xml:space="preserve">, у </w:t>
      </w:r>
      <w:proofErr w:type="spellStart"/>
      <w:r>
        <w:rPr>
          <w:sz w:val="28"/>
          <w:szCs w:val="28"/>
          <w:lang w:val="ru-RU"/>
        </w:rPr>
        <w:t>якій</w:t>
      </w:r>
      <w:proofErr w:type="spellEnd"/>
      <w:r>
        <w:rPr>
          <w:sz w:val="28"/>
          <w:szCs w:val="28"/>
          <w:lang w:val="ru-RU"/>
        </w:rPr>
        <w:t xml:space="preserve"> </w:t>
      </w:r>
      <w:proofErr w:type="spellStart"/>
      <w:r>
        <w:rPr>
          <w:sz w:val="28"/>
          <w:szCs w:val="28"/>
          <w:lang w:val="ru-RU"/>
        </w:rPr>
        <w:t>зазначено</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Pr>
          <w:color w:val="000000"/>
          <w:sz w:val="28"/>
          <w:szCs w:val="28"/>
          <w:lang w:val="ru-RU"/>
        </w:rPr>
        <w:t>держави-учасниці</w:t>
      </w:r>
      <w:proofErr w:type="spellEnd"/>
      <w:r>
        <w:rPr>
          <w:color w:val="000000"/>
          <w:sz w:val="28"/>
          <w:szCs w:val="28"/>
          <w:lang w:val="ru-RU"/>
        </w:rPr>
        <w:t xml:space="preserve"> </w:t>
      </w:r>
      <w:proofErr w:type="spellStart"/>
      <w:r>
        <w:rPr>
          <w:color w:val="000000"/>
          <w:sz w:val="28"/>
          <w:szCs w:val="28"/>
          <w:lang w:val="ru-RU"/>
        </w:rPr>
        <w:t>вживають</w:t>
      </w:r>
      <w:proofErr w:type="spellEnd"/>
      <w:r>
        <w:rPr>
          <w:color w:val="000000"/>
          <w:sz w:val="28"/>
          <w:szCs w:val="28"/>
          <w:lang w:val="ru-RU"/>
        </w:rPr>
        <w:t xml:space="preserve"> </w:t>
      </w:r>
      <w:proofErr w:type="spellStart"/>
      <w:r>
        <w:rPr>
          <w:color w:val="000000"/>
          <w:sz w:val="28"/>
          <w:szCs w:val="28"/>
          <w:lang w:val="ru-RU"/>
        </w:rPr>
        <w:t>заходів</w:t>
      </w:r>
      <w:proofErr w:type="spellEnd"/>
      <w:r>
        <w:rPr>
          <w:color w:val="000000"/>
          <w:sz w:val="28"/>
          <w:szCs w:val="28"/>
          <w:lang w:val="ru-RU"/>
        </w:rPr>
        <w:t xml:space="preserve"> для </w:t>
      </w:r>
      <w:proofErr w:type="spellStart"/>
      <w:r>
        <w:rPr>
          <w:color w:val="000000"/>
          <w:sz w:val="28"/>
          <w:szCs w:val="28"/>
          <w:lang w:val="ru-RU"/>
        </w:rPr>
        <w:t>боротьби</w:t>
      </w:r>
      <w:proofErr w:type="spellEnd"/>
      <w:r>
        <w:rPr>
          <w:color w:val="000000"/>
          <w:sz w:val="28"/>
          <w:szCs w:val="28"/>
          <w:lang w:val="ru-RU"/>
        </w:rPr>
        <w:t xml:space="preserve"> з </w:t>
      </w:r>
      <w:proofErr w:type="spellStart"/>
      <w:r>
        <w:rPr>
          <w:color w:val="000000"/>
          <w:sz w:val="28"/>
          <w:szCs w:val="28"/>
          <w:lang w:val="ru-RU"/>
        </w:rPr>
        <w:t>незаконним</w:t>
      </w:r>
      <w:proofErr w:type="spellEnd"/>
      <w:r>
        <w:rPr>
          <w:color w:val="000000"/>
          <w:sz w:val="28"/>
          <w:szCs w:val="28"/>
          <w:lang w:val="ru-RU"/>
        </w:rPr>
        <w:t xml:space="preserve"> </w:t>
      </w:r>
      <w:proofErr w:type="spellStart"/>
      <w:r>
        <w:rPr>
          <w:color w:val="000000"/>
          <w:sz w:val="28"/>
          <w:szCs w:val="28"/>
          <w:lang w:val="ru-RU"/>
        </w:rPr>
        <w:t>переміщенням</w:t>
      </w:r>
      <w:proofErr w:type="spellEnd"/>
      <w:r>
        <w:rPr>
          <w:color w:val="000000"/>
          <w:sz w:val="28"/>
          <w:szCs w:val="28"/>
          <w:lang w:val="ru-RU"/>
        </w:rPr>
        <w:t xml:space="preserve"> і </w:t>
      </w:r>
      <w:proofErr w:type="spellStart"/>
      <w:r>
        <w:rPr>
          <w:color w:val="000000"/>
          <w:sz w:val="28"/>
          <w:szCs w:val="28"/>
          <w:lang w:val="ru-RU"/>
        </w:rPr>
        <w:t>неповерненням</w:t>
      </w:r>
      <w:proofErr w:type="spellEnd"/>
      <w:r>
        <w:rPr>
          <w:color w:val="000000"/>
          <w:sz w:val="28"/>
          <w:szCs w:val="28"/>
          <w:lang w:val="ru-RU"/>
        </w:rPr>
        <w:t xml:space="preserve"> </w:t>
      </w:r>
      <w:proofErr w:type="spellStart"/>
      <w:r>
        <w:rPr>
          <w:color w:val="000000"/>
          <w:sz w:val="28"/>
          <w:szCs w:val="28"/>
          <w:lang w:val="ru-RU"/>
        </w:rPr>
        <w:t>дітей</w:t>
      </w:r>
      <w:proofErr w:type="spellEnd"/>
      <w:r>
        <w:rPr>
          <w:color w:val="000000"/>
          <w:sz w:val="28"/>
          <w:szCs w:val="28"/>
          <w:lang w:val="ru-RU"/>
        </w:rPr>
        <w:t xml:space="preserve"> </w:t>
      </w:r>
      <w:proofErr w:type="spellStart"/>
      <w:proofErr w:type="gramStart"/>
      <w:r>
        <w:rPr>
          <w:color w:val="000000"/>
          <w:sz w:val="28"/>
          <w:szCs w:val="28"/>
          <w:lang w:val="ru-RU"/>
        </w:rPr>
        <w:t>із</w:t>
      </w:r>
      <w:proofErr w:type="spellEnd"/>
      <w:r>
        <w:rPr>
          <w:color w:val="000000"/>
          <w:sz w:val="28"/>
          <w:szCs w:val="28"/>
          <w:lang w:val="ru-RU"/>
        </w:rPr>
        <w:t>-за кордону</w:t>
      </w:r>
      <w:proofErr w:type="gramEnd"/>
      <w:r>
        <w:rPr>
          <w:color w:val="000000"/>
          <w:sz w:val="28"/>
          <w:szCs w:val="28"/>
          <w:lang w:val="ru-RU"/>
        </w:rPr>
        <w:t>».</w:t>
      </w:r>
    </w:p>
    <w:p w:rsidR="005C5C32" w:rsidRDefault="005C5C32" w:rsidP="005C5C32">
      <w:pPr>
        <w:pStyle w:val="ae"/>
        <w:spacing w:before="120" w:after="120"/>
        <w:ind w:left="0" w:firstLine="720"/>
        <w:jc w:val="both"/>
        <w:rPr>
          <w:lang w:val="ru-RU"/>
        </w:rPr>
      </w:pPr>
    </w:p>
    <w:p w:rsidR="005C5C32" w:rsidRDefault="005C5C32" w:rsidP="005C5C32">
      <w:pPr>
        <w:pStyle w:val="ae"/>
        <w:spacing w:before="120" w:after="120"/>
        <w:ind w:left="0" w:firstLine="720"/>
        <w:jc w:val="both"/>
        <w:rPr>
          <w:bCs/>
          <w:shd w:val="clear" w:color="auto" w:fill="FFFFFF"/>
        </w:rPr>
      </w:pPr>
      <w:r>
        <w:t>Стаття 146</w:t>
      </w:r>
      <w:r>
        <w:rPr>
          <w:vertAlign w:val="superscript"/>
        </w:rPr>
        <w:t xml:space="preserve">2 </w:t>
      </w:r>
      <w:r>
        <w:rPr>
          <w:bCs/>
          <w:iCs/>
        </w:rPr>
        <w:t xml:space="preserve">Кримінального кодексу України у редакції цього законопроекту </w:t>
      </w:r>
      <w:r>
        <w:rPr>
          <w:bCs/>
          <w:i/>
          <w:iCs/>
          <w:u w:val="single"/>
        </w:rPr>
        <w:t>не суперечить</w:t>
      </w:r>
      <w:r>
        <w:rPr>
          <w:bCs/>
          <w:iCs/>
        </w:rPr>
        <w:t xml:space="preserve"> статті 22 Угоди про асоціацію та статтям 3, 4 </w:t>
      </w:r>
      <w:r>
        <w:rPr>
          <w:bCs/>
          <w:shd w:val="clear" w:color="auto" w:fill="FFFFFF"/>
        </w:rPr>
        <w:t>Конвенції про цивільно-правові аспекти міжнародного викрадення дітей.</w:t>
      </w:r>
    </w:p>
    <w:p w:rsidR="005C5C32" w:rsidRDefault="005C5C32" w:rsidP="005C5C32">
      <w:pPr>
        <w:pStyle w:val="af"/>
        <w:spacing w:before="0"/>
        <w:ind w:firstLine="720"/>
        <w:rPr>
          <w:rFonts w:ascii="Times New Roman" w:hAnsi="Times New Roman"/>
          <w:sz w:val="28"/>
          <w:szCs w:val="28"/>
        </w:rPr>
      </w:pPr>
      <w:r>
        <w:rPr>
          <w:rFonts w:ascii="Times New Roman" w:hAnsi="Times New Roman"/>
          <w:sz w:val="28"/>
          <w:szCs w:val="28"/>
        </w:rPr>
        <w:t xml:space="preserve">Автори даного проекту Закону пропонують додати частину 3 до статті 27 Цивільного процесуального кодексу України щодо позовів про повернення дитини: «позови про повернення дитини відповідно до Конвенції про цивільно-правові аспекти міжнародного викрадення дітей пред’являються до одного з двох судів, визначених головою апеляційного суду відповідного апеляційного округу, з урахуванням зареєстрованого у встановленому законом порядку місця проживання або перебування особи, з якою перебуває дитина» </w:t>
      </w:r>
      <w:r>
        <w:rPr>
          <w:rFonts w:ascii="Times New Roman" w:hAnsi="Times New Roman"/>
          <w:i/>
          <w:sz w:val="28"/>
          <w:szCs w:val="28"/>
          <w:u w:val="single"/>
        </w:rPr>
        <w:t>не суперечить</w:t>
      </w:r>
      <w:r>
        <w:rPr>
          <w:rFonts w:ascii="Times New Roman" w:hAnsi="Times New Roman"/>
          <w:sz w:val="28"/>
          <w:szCs w:val="28"/>
        </w:rPr>
        <w:t xml:space="preserve"> абзацу 1 статті 8 Конвенції про цивільно-правові аспекти міжнародного викрадення дітей. </w:t>
      </w:r>
    </w:p>
    <w:p w:rsidR="005C5C32" w:rsidRPr="005C5C32" w:rsidRDefault="005C5C32" w:rsidP="005C5C32">
      <w:pPr>
        <w:jc w:val="both"/>
        <w:rPr>
          <w:lang w:val="ru-RU"/>
        </w:rPr>
      </w:pPr>
      <w:r w:rsidRPr="005C5C32">
        <w:rPr>
          <w:lang w:val="ru-RU"/>
        </w:rPr>
        <w:tab/>
      </w:r>
    </w:p>
    <w:p w:rsidR="005C5C32" w:rsidRPr="005C5C32" w:rsidRDefault="005C5C32" w:rsidP="005C5C32">
      <w:pPr>
        <w:ind w:firstLine="708"/>
        <w:jc w:val="both"/>
        <w:rPr>
          <w:lang w:val="ru-RU"/>
        </w:rPr>
      </w:pPr>
      <w:r w:rsidRPr="005C5C32">
        <w:rPr>
          <w:lang w:val="ru-RU"/>
        </w:rPr>
        <w:t xml:space="preserve">Крім того, у редакції даного проекту Закону стаття 31 Закону України “Про забезпечення організаційно-правових умов соціального захисту дітей-сиріт та дітей, позбавлених батьківського піклування” </w:t>
      </w:r>
      <w:r w:rsidRPr="005C5C32">
        <w:rPr>
          <w:i/>
          <w:u w:val="single"/>
          <w:lang w:val="ru-RU"/>
        </w:rPr>
        <w:t>відповідає</w:t>
      </w:r>
      <w:r w:rsidRPr="005C5C32">
        <w:rPr>
          <w:lang w:val="ru-RU"/>
        </w:rPr>
        <w:t xml:space="preserve"> пункту </w:t>
      </w:r>
      <w:r>
        <w:t>f</w:t>
      </w:r>
      <w:r w:rsidRPr="005C5C32">
        <w:rPr>
          <w:lang w:val="ru-RU"/>
        </w:rPr>
        <w:t xml:space="preserve"> статті 7 та абзацу 1 статті 8 Конвенції про цивільно-правові аспекти міжнародного викрадення дітей у частині, що «будь-яка особа, установа або інший орган, які стверджують, що  дитина   була   переміщена   або  утримується  з  порушенням  прав  піклування,  може звернутися з заявою до  Центрального  органу  за  місцем  постійного  проживання  дитини  або до Центрального органу будь-якої іншої Договірної держави  за  допомогою  у  забезпеченні повернення дитини». </w:t>
      </w:r>
    </w:p>
    <w:p w:rsidR="005C5C32" w:rsidRPr="005C5C32" w:rsidRDefault="005C5C32" w:rsidP="005C5C32">
      <w:pPr>
        <w:spacing w:before="120" w:after="120"/>
        <w:jc w:val="both"/>
        <w:rPr>
          <w:lang w:val="ru-RU"/>
        </w:rPr>
      </w:pPr>
      <w:r w:rsidRPr="005C5C32">
        <w:rPr>
          <w:lang w:val="ru-RU"/>
        </w:rPr>
        <w:tab/>
        <w:t>У законопроекті запропоновано додати до Цивільного процесуального кодексу України статтю 292</w:t>
      </w:r>
      <w:r w:rsidRPr="005C5C32">
        <w:rPr>
          <w:bCs/>
          <w:iCs/>
          <w:vertAlign w:val="superscript"/>
          <w:lang w:val="ru-RU"/>
        </w:rPr>
        <w:t>1</w:t>
      </w:r>
      <w:r w:rsidRPr="005C5C32">
        <w:rPr>
          <w:lang w:val="ru-RU"/>
        </w:rPr>
        <w:t xml:space="preserve">, що регулює зміст позовної заяви та інших заяв по суті справи, де надано повний перелік вимог до вищезазначених документів. Така редакція статті </w:t>
      </w:r>
      <w:r w:rsidRPr="005C5C32">
        <w:rPr>
          <w:i/>
          <w:u w:val="single"/>
          <w:lang w:val="ru-RU"/>
        </w:rPr>
        <w:t>відповідає</w:t>
      </w:r>
      <w:r w:rsidRPr="005C5C32">
        <w:rPr>
          <w:lang w:val="ru-RU"/>
        </w:rPr>
        <w:t xml:space="preserve"> статті 8 Конвенції про цивільно-правові аспекти міжнародного викрадення дітей. </w:t>
      </w:r>
    </w:p>
    <w:p w:rsidR="005C5C32" w:rsidRPr="005C5C32" w:rsidRDefault="005C5C32" w:rsidP="005C5C32">
      <w:pPr>
        <w:tabs>
          <w:tab w:val="left" w:pos="6946"/>
        </w:tabs>
        <w:ind w:firstLine="709"/>
        <w:jc w:val="both"/>
        <w:rPr>
          <w:lang w:val="ru-RU" w:eastAsia="uk-UA"/>
        </w:rPr>
      </w:pPr>
      <w:r w:rsidRPr="005C5C32">
        <w:rPr>
          <w:lang w:val="ru-RU"/>
        </w:rPr>
        <w:t xml:space="preserve">Статті </w:t>
      </w:r>
      <m:oMath>
        <m:sSup>
          <m:sSupPr>
            <m:ctrlPr>
              <w:rPr>
                <w:rFonts w:ascii="Cambria Math" w:hAnsi="Cambria Math"/>
                <w:i/>
              </w:rPr>
            </m:ctrlPr>
          </m:sSupPr>
          <m:e>
            <m:r>
              <w:rPr>
                <w:rFonts w:ascii="Cambria Math" w:hAnsi="Cambria Math"/>
                <w:lang w:val="ru-RU"/>
              </w:rPr>
              <m:t>292</m:t>
            </m:r>
          </m:e>
          <m:sup>
            <m:r>
              <w:rPr>
                <w:rFonts w:ascii="Cambria Math" w:hAnsi="Cambria Math"/>
                <w:lang w:val="ru-RU"/>
              </w:rPr>
              <m:t>1</m:t>
            </m:r>
          </m:sup>
        </m:sSup>
      </m:oMath>
      <w:r w:rsidRPr="005C5C32">
        <w:rPr>
          <w:lang w:val="ru-RU"/>
        </w:rPr>
        <w:t xml:space="preserve">, </w:t>
      </w:r>
      <m:oMath>
        <m:sSup>
          <m:sSupPr>
            <m:ctrlPr>
              <w:rPr>
                <w:rFonts w:ascii="Cambria Math" w:hAnsi="Cambria Math"/>
                <w:i/>
              </w:rPr>
            </m:ctrlPr>
          </m:sSupPr>
          <m:e>
            <m:r>
              <w:rPr>
                <w:rFonts w:ascii="Cambria Math" w:hAnsi="Cambria Math"/>
                <w:lang w:val="ru-RU"/>
              </w:rPr>
              <m:t>292</m:t>
            </m:r>
          </m:e>
          <m:sup>
            <m:r>
              <w:rPr>
                <w:rFonts w:ascii="Cambria Math" w:hAnsi="Cambria Math"/>
                <w:lang w:val="ru-RU"/>
              </w:rPr>
              <m:t>3</m:t>
            </m:r>
          </m:sup>
        </m:sSup>
        <m:r>
          <w:rPr>
            <w:rFonts w:ascii="Cambria Math" w:hAnsi="Cambria Math"/>
            <w:lang w:val="ru-RU"/>
          </w:rPr>
          <m:t>,</m:t>
        </m:r>
        <m:sSup>
          <m:sSupPr>
            <m:ctrlPr>
              <w:rPr>
                <w:rFonts w:ascii="Cambria Math" w:hAnsi="Cambria Math"/>
                <w:i/>
              </w:rPr>
            </m:ctrlPr>
          </m:sSupPr>
          <m:e>
            <m:r>
              <w:rPr>
                <w:rFonts w:ascii="Cambria Math" w:hAnsi="Cambria Math"/>
                <w:lang w:val="ru-RU"/>
              </w:rPr>
              <m:t>292</m:t>
            </m:r>
          </m:e>
          <m:sup>
            <m:r>
              <w:rPr>
                <w:rFonts w:ascii="Cambria Math" w:hAnsi="Cambria Math"/>
                <w:lang w:val="ru-RU"/>
              </w:rPr>
              <m:t>5</m:t>
            </m:r>
          </m:sup>
        </m:sSup>
        <m:r>
          <w:rPr>
            <w:rFonts w:ascii="Cambria Math" w:hAnsi="Cambria Math"/>
            <w:lang w:val="ru-RU"/>
          </w:rPr>
          <m:t>,</m:t>
        </m:r>
        <m:sSup>
          <m:sSupPr>
            <m:ctrlPr>
              <w:rPr>
                <w:rFonts w:ascii="Cambria Math" w:hAnsi="Cambria Math"/>
                <w:i/>
              </w:rPr>
            </m:ctrlPr>
          </m:sSupPr>
          <m:e>
            <m:r>
              <w:rPr>
                <w:rFonts w:ascii="Cambria Math" w:hAnsi="Cambria Math"/>
                <w:lang w:val="ru-RU"/>
              </w:rPr>
              <m:t>292</m:t>
            </m:r>
          </m:e>
          <m:sup>
            <m:r>
              <w:rPr>
                <w:rFonts w:ascii="Cambria Math" w:hAnsi="Cambria Math"/>
                <w:lang w:val="ru-RU"/>
              </w:rPr>
              <m:t>7</m:t>
            </m:r>
          </m:sup>
        </m:sSup>
      </m:oMath>
      <w:r w:rsidRPr="005C5C32">
        <w:rPr>
          <w:lang w:val="ru-RU"/>
        </w:rPr>
        <w:t xml:space="preserve"> Цивільного процесуального кодексу України у такій редакції щодо термінів відзиву, розгляду справи, врегулювання спору за участю судді </w:t>
      </w:r>
      <w:r w:rsidRPr="005C5C32">
        <w:rPr>
          <w:i/>
          <w:u w:val="single"/>
          <w:lang w:val="ru-RU"/>
        </w:rPr>
        <w:t>відповідають</w:t>
      </w:r>
      <w:r w:rsidRPr="005C5C32">
        <w:rPr>
          <w:lang w:val="ru-RU"/>
        </w:rPr>
        <w:t xml:space="preserve"> статті 7 Європейської конвенції про здійснення прав дітей та статті 11 Конвенції про цивільно-правові аспекти міжнародного викрадення дітей. </w:t>
      </w:r>
    </w:p>
    <w:p w:rsidR="005C5C32" w:rsidRPr="005C5C32" w:rsidRDefault="005C5C32" w:rsidP="005C5C32">
      <w:pPr>
        <w:jc w:val="both"/>
        <w:rPr>
          <w:lang w:val="ru-RU"/>
        </w:rPr>
      </w:pPr>
      <w:r w:rsidRPr="005C5C32">
        <w:rPr>
          <w:lang w:val="ru-RU"/>
        </w:rPr>
        <w:tab/>
        <w:t xml:space="preserve">Положення, викладене у статті </w:t>
      </w:r>
      <m:oMath>
        <m:sSup>
          <m:sSupPr>
            <m:ctrlPr>
              <w:rPr>
                <w:rFonts w:ascii="Cambria Math" w:hAnsi="Cambria Math"/>
                <w:i/>
              </w:rPr>
            </m:ctrlPr>
          </m:sSupPr>
          <m:e>
            <m:r>
              <w:rPr>
                <w:rFonts w:ascii="Cambria Math" w:hAnsi="Cambria Math"/>
                <w:lang w:val="ru-RU"/>
              </w:rPr>
              <m:t>292</m:t>
            </m:r>
          </m:e>
          <m:sup>
            <m:r>
              <w:rPr>
                <w:rFonts w:ascii="Cambria Math" w:hAnsi="Cambria Math"/>
                <w:lang w:val="ru-RU"/>
              </w:rPr>
              <m:t>5</m:t>
            </m:r>
          </m:sup>
        </m:sSup>
      </m:oMath>
      <w:r w:rsidRPr="005C5C32">
        <w:rPr>
          <w:lang w:val="ru-RU"/>
        </w:rPr>
        <w:t xml:space="preserve"> Цивільного процесуального кодексу України щодо можливості участі дитини у судових засіданнях, заслуховування її </w:t>
      </w:r>
      <w:r w:rsidRPr="005C5C32">
        <w:rPr>
          <w:lang w:val="ru-RU"/>
        </w:rPr>
        <w:lastRenderedPageBreak/>
        <w:t xml:space="preserve">думки, якщо дитина досягла такого віку та рівня розвитку, що може її висловити </w:t>
      </w:r>
      <w:r w:rsidRPr="005C5C32">
        <w:rPr>
          <w:i/>
          <w:u w:val="single"/>
          <w:lang w:val="ru-RU"/>
        </w:rPr>
        <w:t>відповідає</w:t>
      </w:r>
      <w:r w:rsidRPr="005C5C32">
        <w:rPr>
          <w:lang w:val="ru-RU"/>
        </w:rPr>
        <w:t xml:space="preserve"> абзацам 5 та 6 преамбули Європейської конвенції про здійснення прав дітей щодо того, «що дітям для підтримки їхніх прав та їхніх найвищих </w:t>
      </w:r>
      <w:r w:rsidRPr="005C5C32">
        <w:rPr>
          <w:lang w:val="ru-RU"/>
        </w:rPr>
        <w:br/>
        <w:t xml:space="preserve">інтересів має надаватися відповідна інформація та що думкам дитини </w:t>
      </w:r>
      <w:r w:rsidRPr="005C5C32">
        <w:rPr>
          <w:lang w:val="ru-RU"/>
        </w:rPr>
        <w:br/>
        <w:t xml:space="preserve">має приділятися належна увага» та </w:t>
      </w:r>
      <w:r w:rsidRPr="005C5C32">
        <w:rPr>
          <w:i/>
          <w:u w:val="single"/>
          <w:lang w:val="ru-RU"/>
        </w:rPr>
        <w:t>відповідає</w:t>
      </w:r>
      <w:r w:rsidRPr="005C5C32">
        <w:rPr>
          <w:lang w:val="ru-RU"/>
        </w:rPr>
        <w:t xml:space="preserve"> статті 3 цієї ж Конвенції та визначає право дитини бути поінформованим та висловити свою думку під час розгляду справи. Додамо, що таке положення </w:t>
      </w:r>
      <w:r w:rsidRPr="005C5C32">
        <w:rPr>
          <w:i/>
          <w:u w:val="single"/>
          <w:lang w:val="ru-RU"/>
        </w:rPr>
        <w:t>відповідає</w:t>
      </w:r>
      <w:r w:rsidRPr="005C5C32">
        <w:rPr>
          <w:lang w:val="ru-RU"/>
        </w:rPr>
        <w:t xml:space="preserve"> статтям 12 та 13 Конвенції про права дитини.</w:t>
      </w:r>
    </w:p>
    <w:p w:rsidR="005C5C32" w:rsidRPr="005C5C32" w:rsidRDefault="005C5C32" w:rsidP="005C5C32">
      <w:pPr>
        <w:jc w:val="both"/>
        <w:rPr>
          <w:lang w:val="ru-RU"/>
        </w:rPr>
      </w:pPr>
      <w:r w:rsidRPr="005C5C32">
        <w:rPr>
          <w:lang w:val="ru-RU"/>
        </w:rPr>
        <w:tab/>
        <w:t xml:space="preserve">Стаття 437 у редакції даного проекту Закону щодо можливості та процедури </w:t>
      </w:r>
      <w:r w:rsidRPr="005C5C32">
        <w:rPr>
          <w:bCs/>
          <w:lang w:val="ru-RU"/>
        </w:rPr>
        <w:t>влаштування дитини до дитячого або лікувального закладу</w:t>
      </w:r>
      <w:r w:rsidRPr="005C5C32">
        <w:rPr>
          <w:bCs/>
          <w:iCs/>
          <w:lang w:val="ru-RU"/>
        </w:rPr>
        <w:t>, в сім’ю родичів або патронатного вихователя</w:t>
      </w:r>
      <w:r w:rsidRPr="005C5C32">
        <w:rPr>
          <w:lang w:val="ru-RU"/>
        </w:rPr>
        <w:t xml:space="preserve"> та </w:t>
      </w:r>
      <w:r w:rsidRPr="005C5C32">
        <w:rPr>
          <w:i/>
          <w:u w:val="single"/>
          <w:lang w:val="ru-RU"/>
        </w:rPr>
        <w:t>не суперечить</w:t>
      </w:r>
      <w:r w:rsidRPr="005C5C32">
        <w:rPr>
          <w:lang w:val="ru-RU"/>
        </w:rPr>
        <w:t xml:space="preserve"> статті 20 Конвенції про права дитини.</w:t>
      </w:r>
    </w:p>
    <w:p w:rsidR="005C5C32" w:rsidRPr="005C5C32" w:rsidRDefault="005C5C32" w:rsidP="005C5C32">
      <w:pPr>
        <w:shd w:val="clear" w:color="auto" w:fill="FFFFFF"/>
        <w:ind w:firstLine="720"/>
        <w:jc w:val="both"/>
        <w:rPr>
          <w:lang w:val="ru-RU"/>
        </w:rPr>
      </w:pPr>
      <w:r w:rsidRPr="005C5C32">
        <w:rPr>
          <w:lang w:val="ru-RU"/>
        </w:rPr>
        <w:t xml:space="preserve">Положення статей 439 Цивільного процесуального кодексу України та </w:t>
      </w:r>
      <w:r w:rsidRPr="005C5C32">
        <w:rPr>
          <w:bCs/>
          <w:lang w:val="ru-RU"/>
        </w:rPr>
        <w:t xml:space="preserve"> пункт </w:t>
      </w:r>
      <m:oMath>
        <m:sSup>
          <m:sSupPr>
            <m:ctrlPr>
              <w:rPr>
                <w:rFonts w:ascii="Cambria Math" w:hAnsi="Cambria Math"/>
                <w:bCs/>
                <w:i/>
              </w:rPr>
            </m:ctrlPr>
          </m:sSupPr>
          <m:e>
            <m:r>
              <w:rPr>
                <w:rFonts w:ascii="Cambria Math" w:hAnsi="Cambria Math"/>
                <w:lang w:val="ru-RU"/>
              </w:rPr>
              <m:t>12</m:t>
            </m:r>
          </m:e>
          <m:sup>
            <m:r>
              <w:rPr>
                <w:rFonts w:ascii="Cambria Math" w:hAnsi="Cambria Math"/>
                <w:lang w:val="ru-RU"/>
              </w:rPr>
              <m:t>1</m:t>
            </m:r>
          </m:sup>
        </m:sSup>
      </m:oMath>
      <w:r w:rsidRPr="005C5C32">
        <w:rPr>
          <w:bCs/>
          <w:lang w:val="ru-RU"/>
        </w:rPr>
        <w:t xml:space="preserve"> статті 18 Закону України “Про виконавче провадження”, викладених у законопроекті </w:t>
      </w:r>
      <w:r w:rsidRPr="005C5C32">
        <w:rPr>
          <w:bCs/>
          <w:i/>
          <w:u w:val="single"/>
          <w:lang w:val="ru-RU"/>
        </w:rPr>
        <w:t>не суперечать</w:t>
      </w:r>
      <w:r w:rsidRPr="005C5C32">
        <w:rPr>
          <w:bCs/>
          <w:lang w:val="ru-RU"/>
        </w:rPr>
        <w:t xml:space="preserve"> статті 8 </w:t>
      </w:r>
      <w:r w:rsidRPr="005C5C32">
        <w:rPr>
          <w:lang w:val="ru-RU"/>
        </w:rPr>
        <w:t>Європейської конвенції про здійснення прав дітей.</w:t>
      </w:r>
    </w:p>
    <w:p w:rsidR="005C5C32" w:rsidRPr="005C5C32" w:rsidRDefault="005C5C32" w:rsidP="005C5C32">
      <w:pPr>
        <w:ind w:firstLine="567"/>
        <w:jc w:val="both"/>
        <w:rPr>
          <w:lang w:val="ru-RU"/>
        </w:rPr>
      </w:pPr>
      <w:r w:rsidRPr="005C5C32">
        <w:rPr>
          <w:lang w:val="ru-RU"/>
        </w:rPr>
        <w:t xml:space="preserve">Також, відповідно до практики Європейського Союзу, стаття </w:t>
      </w:r>
      <m:oMath>
        <m:sSup>
          <m:sSupPr>
            <m:ctrlPr>
              <w:rPr>
                <w:rFonts w:ascii="Cambria Math" w:hAnsi="Cambria Math"/>
                <w:i/>
              </w:rPr>
            </m:ctrlPr>
          </m:sSupPr>
          <m:e>
            <m:r>
              <w:rPr>
                <w:rFonts w:ascii="Cambria Math" w:hAnsi="Cambria Math"/>
                <w:lang w:val="ru-RU"/>
              </w:rPr>
              <m:t>292</m:t>
            </m:r>
          </m:e>
          <m:sup>
            <m:r>
              <w:rPr>
                <w:rFonts w:ascii="Cambria Math" w:hAnsi="Cambria Math"/>
                <w:lang w:val="ru-RU"/>
              </w:rPr>
              <m:t>6</m:t>
            </m:r>
          </m:sup>
        </m:sSup>
      </m:oMath>
      <w:r w:rsidRPr="005C5C32">
        <w:rPr>
          <w:lang w:val="ru-RU"/>
        </w:rPr>
        <w:t xml:space="preserve">, що визначає процедуру вручення судового рішення відповідачеві, у якій «повідомляється про ухвалення відповідного судового рішення шляхом розміщення інформації на офіційному веб-порталі судової влади України (з посиланням на веб-адресу відповідної ухвали суду в Єдиному державному реєстрі судових рішень)», </w:t>
      </w:r>
      <w:r w:rsidRPr="005C5C32">
        <w:rPr>
          <w:i/>
          <w:u w:val="single"/>
          <w:lang w:val="ru-RU"/>
        </w:rPr>
        <w:t>відповідає</w:t>
      </w:r>
      <w:r w:rsidRPr="005C5C32">
        <w:rPr>
          <w:lang w:val="ru-RU"/>
        </w:rPr>
        <w:t xml:space="preserve"> статті 92 Регламенту Європейського суду справедливості, у якій зазначено, що «повідомлення, що містить дату та резолютивну частину рішення чи постанови Суду, що закриває провадження, публікується в Офіційному журналі Європейського Союзу» та статті 122 Регламенту Суду загальної юрисдикції.</w:t>
      </w:r>
    </w:p>
    <w:p w:rsidR="005C5C32" w:rsidRPr="005C5C32" w:rsidRDefault="005C5C32" w:rsidP="005C5C32">
      <w:pPr>
        <w:jc w:val="both"/>
        <w:rPr>
          <w:lang w:val="ru-RU"/>
        </w:rPr>
      </w:pPr>
    </w:p>
    <w:p w:rsidR="005C5C32" w:rsidRPr="005C5C32" w:rsidRDefault="005C5C32" w:rsidP="005C5C32">
      <w:pPr>
        <w:jc w:val="both"/>
        <w:rPr>
          <w:lang w:val="ru-RU"/>
        </w:rPr>
      </w:pPr>
    </w:p>
    <w:p w:rsidR="005C5C32" w:rsidRPr="005C5C32" w:rsidRDefault="005C5C32" w:rsidP="005C5C32">
      <w:pPr>
        <w:spacing w:after="60"/>
        <w:ind w:firstLine="567"/>
        <w:jc w:val="both"/>
        <w:rPr>
          <w:bCs/>
          <w:lang w:val="ru-RU"/>
        </w:rPr>
      </w:pPr>
      <w:r w:rsidRPr="005C5C32">
        <w:rPr>
          <w:rFonts w:eastAsia="Verdana"/>
          <w:b/>
          <w:bCs/>
          <w:lang w:val="ru-RU"/>
        </w:rPr>
        <w:t>4.</w:t>
      </w:r>
      <w:r>
        <w:rPr>
          <w:rFonts w:eastAsia="Verdana"/>
          <w:bCs/>
        </w:rPr>
        <w:t>   </w:t>
      </w:r>
      <w:r w:rsidRPr="005C5C32">
        <w:rPr>
          <w:b/>
          <w:lang w:val="ru-RU"/>
        </w:rPr>
        <w:t xml:space="preserve">Висновок Комітету з питань інтеграції України з Європейським Союзом. </w:t>
      </w:r>
    </w:p>
    <w:p w:rsidR="005C5C32" w:rsidRPr="00FE5A43" w:rsidRDefault="005C5C32" w:rsidP="00FE5A43">
      <w:pPr>
        <w:pStyle w:val="3"/>
        <w:rPr>
          <w:bCs/>
        </w:rPr>
      </w:pPr>
      <w:bookmarkStart w:id="0" w:name="_GoBack"/>
      <w:r w:rsidRPr="00FE5A43">
        <w:t xml:space="preserve">Проект Закону «Про внесення змін до деяких законодавчих актів України щодо забезпечення виконання Україною Конвенції про цивільно-правові аспекти міжнародного викрадення дітей» (реєстр. № 1192 від </w:t>
      </w:r>
      <w:r w:rsidRPr="00FE5A43">
        <w:rPr>
          <w:shd w:val="clear" w:color="auto" w:fill="FFFFFF"/>
        </w:rPr>
        <w:t xml:space="preserve">29.08.2019 </w:t>
      </w:r>
      <w:r w:rsidRPr="00FE5A43">
        <w:t xml:space="preserve">р., </w:t>
      </w:r>
      <w:proofErr w:type="spellStart"/>
      <w:r w:rsidRPr="00FE5A43">
        <w:t>н.д</w:t>
      </w:r>
      <w:proofErr w:type="spellEnd"/>
      <w:r w:rsidRPr="00FE5A43">
        <w:t xml:space="preserve">.  І. </w:t>
      </w:r>
      <w:proofErr w:type="spellStart"/>
      <w:r w:rsidRPr="00FE5A43">
        <w:t>Климпуш-Цинцадзе</w:t>
      </w:r>
      <w:proofErr w:type="spellEnd"/>
      <w:r w:rsidRPr="00FE5A43">
        <w:t xml:space="preserve">, І. Геращенко, А. </w:t>
      </w:r>
      <w:proofErr w:type="spellStart"/>
      <w:r w:rsidRPr="00FE5A43">
        <w:t>Лопушанський</w:t>
      </w:r>
      <w:proofErr w:type="spellEnd"/>
      <w:r w:rsidRPr="00FE5A43">
        <w:t xml:space="preserve"> та інші) </w:t>
      </w:r>
      <w:r w:rsidRPr="00FE5A43">
        <w:rPr>
          <w:u w:val="single"/>
        </w:rPr>
        <w:t>відповідає</w:t>
      </w:r>
      <w:r w:rsidRPr="00FE5A43">
        <w:t xml:space="preserve"> міжнародно-правовим зобов’язанням України у сфері європейської інтеграції.</w:t>
      </w:r>
    </w:p>
    <w:bookmarkEnd w:id="0"/>
    <w:p w:rsidR="005C5C32" w:rsidRPr="005C5C32" w:rsidRDefault="005C5C32" w:rsidP="005C5C32">
      <w:pPr>
        <w:ind w:firstLine="567"/>
        <w:jc w:val="both"/>
        <w:rPr>
          <w:lang w:val="uk-UA"/>
        </w:rPr>
      </w:pPr>
    </w:p>
    <w:p w:rsidR="00CE3CFD" w:rsidRDefault="00CE3CFD" w:rsidP="00FB30E4">
      <w:pPr>
        <w:ind w:firstLine="567"/>
        <w:jc w:val="center"/>
        <w:outlineLvl w:val="4"/>
        <w:rPr>
          <w:sz w:val="16"/>
          <w:szCs w:val="16"/>
          <w:lang w:val="uk-UA"/>
        </w:rPr>
      </w:pPr>
    </w:p>
    <w:sectPr w:rsidR="00CE3CFD" w:rsidSect="00090031">
      <w:footerReference w:type="defaul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F5E" w:rsidRDefault="00166F5E">
      <w:r>
        <w:separator/>
      </w:r>
    </w:p>
  </w:endnote>
  <w:endnote w:type="continuationSeparator" w:id="0">
    <w:p w:rsidR="00166F5E" w:rsidRDefault="0016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E4" w:rsidRPr="00FB30E4" w:rsidRDefault="00FB30E4" w:rsidP="00FB30E4">
    <w:pPr>
      <w:pStyle w:val="a5"/>
      <w:rPr>
        <w:lang w:val="ru-RU"/>
      </w:rPr>
    </w:pPr>
    <w:r>
      <w:rPr>
        <w:rStyle w:val="ad"/>
      </w:rPr>
      <w:footnoteRef/>
    </w:r>
    <w:r w:rsidRPr="00FB30E4">
      <w:rPr>
        <w:lang w:val="ru-RU"/>
      </w:rPr>
      <w:t xml:space="preserve"> </w:t>
    </w:r>
    <w:proofErr w:type="spellStart"/>
    <w:r w:rsidRPr="00FB30E4">
      <w:rPr>
        <w:lang w:val="ru-RU"/>
      </w:rPr>
      <w:t>К</w:t>
    </w:r>
    <w:r w:rsidRPr="00FB30E4">
      <w:rPr>
        <w:rFonts w:eastAsia="MS Mincho"/>
        <w:lang w:val="ru-RU"/>
      </w:rPr>
      <w:t>омітет</w:t>
    </w:r>
    <w:proofErr w:type="spellEnd"/>
    <w:r w:rsidRPr="00FB30E4">
      <w:rPr>
        <w:rFonts w:eastAsia="MS Mincho"/>
        <w:lang w:val="ru-RU"/>
      </w:rPr>
      <w:t xml:space="preserve"> </w:t>
    </w:r>
    <w:proofErr w:type="spellStart"/>
    <w:r w:rsidRPr="00FB30E4">
      <w:rPr>
        <w:rFonts w:eastAsia="MS Mincho"/>
        <w:lang w:val="ru-RU"/>
      </w:rPr>
      <w:t>розглянув</w:t>
    </w:r>
    <w:proofErr w:type="spellEnd"/>
    <w:r w:rsidRPr="00FB30E4">
      <w:rPr>
        <w:rFonts w:eastAsia="MS Mincho"/>
        <w:lang w:val="ru-RU"/>
      </w:rPr>
      <w:t xml:space="preserve"> проект Закону на </w:t>
    </w:r>
    <w:proofErr w:type="spellStart"/>
    <w:r w:rsidRPr="00FB30E4">
      <w:rPr>
        <w:rFonts w:eastAsia="MS Mincho"/>
        <w:lang w:val="ru-RU"/>
      </w:rPr>
      <w:t>своєму</w:t>
    </w:r>
    <w:proofErr w:type="spellEnd"/>
    <w:r w:rsidRPr="00FB30E4">
      <w:rPr>
        <w:rFonts w:eastAsia="MS Mincho"/>
        <w:lang w:val="ru-RU"/>
      </w:rPr>
      <w:t xml:space="preserve"> </w:t>
    </w:r>
    <w:proofErr w:type="spellStart"/>
    <w:r w:rsidRPr="00FB30E4">
      <w:rPr>
        <w:rFonts w:eastAsia="MS Mincho"/>
        <w:lang w:val="ru-RU"/>
      </w:rPr>
      <w:t>засіданні</w:t>
    </w:r>
    <w:proofErr w:type="spellEnd"/>
    <w:r w:rsidRPr="00FB30E4">
      <w:rPr>
        <w:rFonts w:eastAsia="MS Mincho"/>
        <w:lang w:val="ru-RU"/>
      </w:rPr>
      <w:t xml:space="preserve"> </w:t>
    </w:r>
    <w:r w:rsidR="005C5C32">
      <w:rPr>
        <w:rFonts w:eastAsia="MS Mincho"/>
        <w:lang w:val="ru-RU"/>
      </w:rPr>
      <w:t>11</w:t>
    </w:r>
    <w:r>
      <w:rPr>
        <w:rFonts w:eastAsia="MS Mincho"/>
        <w:lang w:val="ru-RU"/>
      </w:rPr>
      <w:t xml:space="preserve"> </w:t>
    </w:r>
    <w:proofErr w:type="spellStart"/>
    <w:r>
      <w:rPr>
        <w:rFonts w:eastAsia="MS Mincho"/>
        <w:lang w:val="ru-RU"/>
      </w:rPr>
      <w:t>червня</w:t>
    </w:r>
    <w:proofErr w:type="spellEnd"/>
    <w:r>
      <w:rPr>
        <w:rFonts w:eastAsia="MS Mincho"/>
        <w:lang w:val="ru-RU"/>
      </w:rPr>
      <w:t xml:space="preserve"> 2020 року (протокол № </w:t>
    </w:r>
    <w:r w:rsidR="005C5C32">
      <w:rPr>
        <w:rFonts w:eastAsia="MS Mincho"/>
        <w:lang w:val="ru-RU"/>
      </w:rPr>
      <w:t>37</w:t>
    </w:r>
    <w:r w:rsidRPr="00FB30E4">
      <w:rPr>
        <w:rFonts w:eastAsia="MS Mincho"/>
        <w:lang w:val="ru-RU"/>
      </w:rPr>
      <w:t xml:space="preserve">) </w:t>
    </w:r>
    <w:proofErr w:type="spellStart"/>
    <w:r w:rsidRPr="00FB30E4">
      <w:rPr>
        <w:rFonts w:eastAsia="MS Mincho"/>
        <w:lang w:val="ru-RU"/>
      </w:rPr>
      <w:t>в</w:t>
    </w:r>
    <w:r w:rsidRPr="00FB30E4">
      <w:rPr>
        <w:lang w:val="ru-RU"/>
      </w:rPr>
      <w:t>ідповідно</w:t>
    </w:r>
    <w:proofErr w:type="spellEnd"/>
    <w:r w:rsidRPr="00FB30E4">
      <w:rPr>
        <w:lang w:val="ru-RU"/>
      </w:rPr>
      <w:t xml:space="preserve"> до </w:t>
    </w:r>
    <w:proofErr w:type="spellStart"/>
    <w:r w:rsidRPr="00FB30E4">
      <w:rPr>
        <w:lang w:val="ru-RU"/>
      </w:rPr>
      <w:t>статті</w:t>
    </w:r>
    <w:proofErr w:type="spellEnd"/>
    <w:r w:rsidRPr="00FB30E4">
      <w:rPr>
        <w:lang w:val="ru-RU"/>
      </w:rPr>
      <w:t xml:space="preserve"> 93 Регламенту </w:t>
    </w:r>
    <w:proofErr w:type="spellStart"/>
    <w:r w:rsidRPr="00FB30E4">
      <w:rPr>
        <w:lang w:val="ru-RU"/>
      </w:rPr>
      <w:t>Верховної</w:t>
    </w:r>
    <w:proofErr w:type="spellEnd"/>
    <w:r w:rsidRPr="00FB30E4">
      <w:rPr>
        <w:lang w:val="ru-RU"/>
      </w:rPr>
      <w:t xml:space="preserve"> Ради </w:t>
    </w:r>
    <w:proofErr w:type="spellStart"/>
    <w:r w:rsidRPr="00FB30E4">
      <w:rPr>
        <w:lang w:val="ru-RU"/>
      </w:rPr>
      <w:t>України</w:t>
    </w:r>
    <w:proofErr w:type="spellEnd"/>
    <w:r>
      <w:rPr>
        <w:lang w:val="ru-RU"/>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F5E" w:rsidRDefault="00166F5E">
      <w:r>
        <w:separator/>
      </w:r>
    </w:p>
  </w:footnote>
  <w:footnote w:type="continuationSeparator" w:id="0">
    <w:p w:rsidR="00166F5E" w:rsidRDefault="00166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1AE9AA"/>
    <w:lvl w:ilvl="0">
      <w:numFmt w:val="bullet"/>
      <w:lvlText w:val="*"/>
      <w:lvlJc w:val="left"/>
    </w:lvl>
  </w:abstractNum>
  <w:abstractNum w:abstractNumId="1" w15:restartNumberingAfterBreak="0">
    <w:nsid w:val="2117380C"/>
    <w:multiLevelType w:val="hybridMultilevel"/>
    <w:tmpl w:val="B8563226"/>
    <w:lvl w:ilvl="0" w:tplc="9DFEC5C6">
      <w:numFmt w:val="bullet"/>
      <w:lvlText w:val="-"/>
      <w:lvlJc w:val="left"/>
      <w:pPr>
        <w:tabs>
          <w:tab w:val="num" w:pos="924"/>
        </w:tabs>
        <w:ind w:left="924" w:hanging="56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56E30"/>
    <w:multiLevelType w:val="hybridMultilevel"/>
    <w:tmpl w:val="BB1004B8"/>
    <w:lvl w:ilvl="0" w:tplc="590EDDB4">
      <w:start w:val="1"/>
      <w:numFmt w:val="decimal"/>
      <w:lvlText w:val="%1."/>
      <w:lvlJc w:val="left"/>
      <w:pPr>
        <w:tabs>
          <w:tab w:val="num" w:pos="1812"/>
        </w:tabs>
        <w:ind w:left="1812" w:hanging="109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487D1833"/>
    <w:multiLevelType w:val="hybridMultilevel"/>
    <w:tmpl w:val="102E157A"/>
    <w:lvl w:ilvl="0" w:tplc="EFE49516">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15:restartNumberingAfterBreak="0">
    <w:nsid w:val="54087960"/>
    <w:multiLevelType w:val="hybridMultilevel"/>
    <w:tmpl w:val="4050C468"/>
    <w:lvl w:ilvl="0" w:tplc="89FACD8E">
      <w:numFmt w:val="bullet"/>
      <w:lvlText w:val="-"/>
      <w:lvlJc w:val="left"/>
      <w:pPr>
        <w:ind w:left="1080" w:hanging="360"/>
      </w:pPr>
      <w:rPr>
        <w:rFonts w:ascii="Times New Roman" w:eastAsia="Verdan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5392963"/>
    <w:multiLevelType w:val="hybridMultilevel"/>
    <w:tmpl w:val="42DA31FE"/>
    <w:lvl w:ilvl="0" w:tplc="900A5680">
      <w:start w:val="1"/>
      <w:numFmt w:val="decimal"/>
      <w:lvlText w:val="%1."/>
      <w:lvlJc w:val="left"/>
      <w:pPr>
        <w:tabs>
          <w:tab w:val="num" w:pos="360"/>
        </w:tabs>
        <w:ind w:left="360" w:hanging="360"/>
      </w:pPr>
      <w:rPr>
        <w:rFonts w:hint="default"/>
        <w:b/>
        <w:i/>
      </w:rPr>
    </w:lvl>
    <w:lvl w:ilvl="1" w:tplc="04190001">
      <w:start w:val="1"/>
      <w:numFmt w:val="bullet"/>
      <w:lvlText w:val=""/>
      <w:lvlJc w:val="left"/>
      <w:pPr>
        <w:tabs>
          <w:tab w:val="num" w:pos="1080"/>
        </w:tabs>
        <w:ind w:left="1080" w:hanging="360"/>
      </w:pPr>
      <w:rPr>
        <w:rFonts w:ascii="Symbol" w:hAnsi="Symbol" w:hint="default"/>
        <w:b/>
        <w:i/>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58CF48A6"/>
    <w:multiLevelType w:val="hybridMultilevel"/>
    <w:tmpl w:val="88E2D2CC"/>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5E467E05"/>
    <w:multiLevelType w:val="hybridMultilevel"/>
    <w:tmpl w:val="946C7CCA"/>
    <w:lvl w:ilvl="0" w:tplc="89FACD8E">
      <w:numFmt w:val="bullet"/>
      <w:lvlText w:val="-"/>
      <w:lvlJc w:val="left"/>
      <w:pPr>
        <w:ind w:left="785" w:hanging="360"/>
      </w:pPr>
      <w:rPr>
        <w:rFonts w:ascii="Times New Roman" w:eastAsia="Verdana" w:hAnsi="Times New Roman" w:cs="Times New Roman" w:hint="default"/>
      </w:rPr>
    </w:lvl>
    <w:lvl w:ilvl="1" w:tplc="04220003">
      <w:start w:val="1"/>
      <w:numFmt w:val="bullet"/>
      <w:lvlText w:val="o"/>
      <w:lvlJc w:val="left"/>
      <w:pPr>
        <w:ind w:left="1145" w:hanging="360"/>
      </w:pPr>
      <w:rPr>
        <w:rFonts w:ascii="Courier New" w:hAnsi="Courier New" w:cs="Courier New" w:hint="default"/>
      </w:rPr>
    </w:lvl>
    <w:lvl w:ilvl="2" w:tplc="04220005">
      <w:start w:val="1"/>
      <w:numFmt w:val="bullet"/>
      <w:lvlText w:val=""/>
      <w:lvlJc w:val="left"/>
      <w:pPr>
        <w:ind w:left="1865" w:hanging="360"/>
      </w:pPr>
      <w:rPr>
        <w:rFonts w:ascii="Wingdings" w:hAnsi="Wingdings" w:hint="default"/>
      </w:rPr>
    </w:lvl>
    <w:lvl w:ilvl="3" w:tplc="04220001">
      <w:start w:val="1"/>
      <w:numFmt w:val="bullet"/>
      <w:lvlText w:val=""/>
      <w:lvlJc w:val="left"/>
      <w:pPr>
        <w:ind w:left="2585" w:hanging="360"/>
      </w:pPr>
      <w:rPr>
        <w:rFonts w:ascii="Symbol" w:hAnsi="Symbol" w:hint="default"/>
      </w:rPr>
    </w:lvl>
    <w:lvl w:ilvl="4" w:tplc="04220003">
      <w:start w:val="1"/>
      <w:numFmt w:val="bullet"/>
      <w:lvlText w:val="o"/>
      <w:lvlJc w:val="left"/>
      <w:pPr>
        <w:ind w:left="3305" w:hanging="360"/>
      </w:pPr>
      <w:rPr>
        <w:rFonts w:ascii="Courier New" w:hAnsi="Courier New" w:cs="Courier New" w:hint="default"/>
      </w:rPr>
    </w:lvl>
    <w:lvl w:ilvl="5" w:tplc="04220005">
      <w:start w:val="1"/>
      <w:numFmt w:val="bullet"/>
      <w:lvlText w:val=""/>
      <w:lvlJc w:val="left"/>
      <w:pPr>
        <w:ind w:left="4025" w:hanging="360"/>
      </w:pPr>
      <w:rPr>
        <w:rFonts w:ascii="Wingdings" w:hAnsi="Wingdings" w:hint="default"/>
      </w:rPr>
    </w:lvl>
    <w:lvl w:ilvl="6" w:tplc="04220001">
      <w:start w:val="1"/>
      <w:numFmt w:val="bullet"/>
      <w:lvlText w:val=""/>
      <w:lvlJc w:val="left"/>
      <w:pPr>
        <w:ind w:left="4745" w:hanging="360"/>
      </w:pPr>
      <w:rPr>
        <w:rFonts w:ascii="Symbol" w:hAnsi="Symbol" w:hint="default"/>
      </w:rPr>
    </w:lvl>
    <w:lvl w:ilvl="7" w:tplc="04220003">
      <w:start w:val="1"/>
      <w:numFmt w:val="bullet"/>
      <w:lvlText w:val="o"/>
      <w:lvlJc w:val="left"/>
      <w:pPr>
        <w:ind w:left="5465" w:hanging="360"/>
      </w:pPr>
      <w:rPr>
        <w:rFonts w:ascii="Courier New" w:hAnsi="Courier New" w:cs="Courier New" w:hint="default"/>
      </w:rPr>
    </w:lvl>
    <w:lvl w:ilvl="8" w:tplc="04220005">
      <w:start w:val="1"/>
      <w:numFmt w:val="bullet"/>
      <w:lvlText w:val=""/>
      <w:lvlJc w:val="left"/>
      <w:pPr>
        <w:ind w:left="6185" w:hanging="360"/>
      </w:pPr>
      <w:rPr>
        <w:rFonts w:ascii="Wingdings" w:hAnsi="Wingdings" w:hint="default"/>
      </w:rPr>
    </w:lvl>
  </w:abstractNum>
  <w:abstractNum w:abstractNumId="8" w15:restartNumberingAfterBreak="0">
    <w:nsid w:val="5FC301F4"/>
    <w:multiLevelType w:val="multilevel"/>
    <w:tmpl w:val="E29AE57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9AE0892"/>
    <w:multiLevelType w:val="multilevel"/>
    <w:tmpl w:val="E29AE57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2"/>
  </w:num>
  <w:num w:numId="3">
    <w:abstractNumId w:val="3"/>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6">
    <w:abstractNumId w:val="5"/>
  </w:num>
  <w:num w:numId="7">
    <w:abstractNumId w:val="9"/>
  </w:num>
  <w:num w:numId="8">
    <w:abstractNumId w:val="8"/>
  </w:num>
  <w:num w:numId="9">
    <w:abstractNumId w:val="1"/>
  </w:num>
  <w:num w:numId="10">
    <w:abstractNumId w:val="4"/>
  </w:num>
  <w:num w:numId="11">
    <w:abstractNumId w:val="7"/>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43"/>
    <w:rsid w:val="00001743"/>
    <w:rsid w:val="000021F0"/>
    <w:rsid w:val="00003738"/>
    <w:rsid w:val="000042B5"/>
    <w:rsid w:val="0001797C"/>
    <w:rsid w:val="00024839"/>
    <w:rsid w:val="000250B7"/>
    <w:rsid w:val="000262DA"/>
    <w:rsid w:val="00027010"/>
    <w:rsid w:val="0003402A"/>
    <w:rsid w:val="000374F8"/>
    <w:rsid w:val="00042E92"/>
    <w:rsid w:val="00047515"/>
    <w:rsid w:val="00050960"/>
    <w:rsid w:val="00053824"/>
    <w:rsid w:val="000631BF"/>
    <w:rsid w:val="00071F60"/>
    <w:rsid w:val="00090031"/>
    <w:rsid w:val="00090403"/>
    <w:rsid w:val="00090D31"/>
    <w:rsid w:val="000A04D4"/>
    <w:rsid w:val="000A3FBE"/>
    <w:rsid w:val="000A725F"/>
    <w:rsid w:val="000B111F"/>
    <w:rsid w:val="000B5944"/>
    <w:rsid w:val="000B59C2"/>
    <w:rsid w:val="000D3D88"/>
    <w:rsid w:val="000E2EC7"/>
    <w:rsid w:val="000E4B56"/>
    <w:rsid w:val="000F1DB2"/>
    <w:rsid w:val="000F3F99"/>
    <w:rsid w:val="000F4084"/>
    <w:rsid w:val="0010119B"/>
    <w:rsid w:val="0011046A"/>
    <w:rsid w:val="00112E75"/>
    <w:rsid w:val="0011633D"/>
    <w:rsid w:val="001169E6"/>
    <w:rsid w:val="00117817"/>
    <w:rsid w:val="00132F0C"/>
    <w:rsid w:val="00133EE7"/>
    <w:rsid w:val="001504C1"/>
    <w:rsid w:val="001556B7"/>
    <w:rsid w:val="00166F5E"/>
    <w:rsid w:val="00170B14"/>
    <w:rsid w:val="001730DA"/>
    <w:rsid w:val="0018016B"/>
    <w:rsid w:val="00182449"/>
    <w:rsid w:val="00182AB6"/>
    <w:rsid w:val="00185F2D"/>
    <w:rsid w:val="0018608A"/>
    <w:rsid w:val="001861C7"/>
    <w:rsid w:val="001A4F8E"/>
    <w:rsid w:val="001B2F43"/>
    <w:rsid w:val="001C13D4"/>
    <w:rsid w:val="001D5D98"/>
    <w:rsid w:val="001D78C6"/>
    <w:rsid w:val="001D7F5C"/>
    <w:rsid w:val="001E14BB"/>
    <w:rsid w:val="001E3EFE"/>
    <w:rsid w:val="001E5BEF"/>
    <w:rsid w:val="002045EA"/>
    <w:rsid w:val="00204686"/>
    <w:rsid w:val="00206A0B"/>
    <w:rsid w:val="002076A8"/>
    <w:rsid w:val="00207A27"/>
    <w:rsid w:val="00212532"/>
    <w:rsid w:val="00213D2D"/>
    <w:rsid w:val="00214938"/>
    <w:rsid w:val="00216C46"/>
    <w:rsid w:val="00223A43"/>
    <w:rsid w:val="00224CCD"/>
    <w:rsid w:val="00231C1D"/>
    <w:rsid w:val="002325C0"/>
    <w:rsid w:val="002449BA"/>
    <w:rsid w:val="002462A6"/>
    <w:rsid w:val="0025788A"/>
    <w:rsid w:val="00265B6C"/>
    <w:rsid w:val="0026766B"/>
    <w:rsid w:val="00270CC8"/>
    <w:rsid w:val="002807CE"/>
    <w:rsid w:val="002842B4"/>
    <w:rsid w:val="0029077E"/>
    <w:rsid w:val="00293E83"/>
    <w:rsid w:val="00295446"/>
    <w:rsid w:val="002A3F6E"/>
    <w:rsid w:val="002B492A"/>
    <w:rsid w:val="002C4268"/>
    <w:rsid w:val="002D4F67"/>
    <w:rsid w:val="002E0062"/>
    <w:rsid w:val="002E3EE1"/>
    <w:rsid w:val="002F39F2"/>
    <w:rsid w:val="0030151A"/>
    <w:rsid w:val="00307CBD"/>
    <w:rsid w:val="003274D2"/>
    <w:rsid w:val="00341803"/>
    <w:rsid w:val="00342422"/>
    <w:rsid w:val="003426B7"/>
    <w:rsid w:val="00342F1D"/>
    <w:rsid w:val="00346B92"/>
    <w:rsid w:val="00347313"/>
    <w:rsid w:val="00375242"/>
    <w:rsid w:val="003815A9"/>
    <w:rsid w:val="003815DE"/>
    <w:rsid w:val="00383EFA"/>
    <w:rsid w:val="00390CCD"/>
    <w:rsid w:val="00393D0B"/>
    <w:rsid w:val="003948CE"/>
    <w:rsid w:val="003977A1"/>
    <w:rsid w:val="003A2271"/>
    <w:rsid w:val="003B486D"/>
    <w:rsid w:val="003E174C"/>
    <w:rsid w:val="003E66AB"/>
    <w:rsid w:val="004022EC"/>
    <w:rsid w:val="004023EE"/>
    <w:rsid w:val="00405393"/>
    <w:rsid w:val="0041051E"/>
    <w:rsid w:val="00411DBD"/>
    <w:rsid w:val="00413A22"/>
    <w:rsid w:val="0041564A"/>
    <w:rsid w:val="00415E31"/>
    <w:rsid w:val="00424A3B"/>
    <w:rsid w:val="004269B7"/>
    <w:rsid w:val="004274F7"/>
    <w:rsid w:val="00427BEE"/>
    <w:rsid w:val="00430405"/>
    <w:rsid w:val="00442453"/>
    <w:rsid w:val="004454AC"/>
    <w:rsid w:val="004464B6"/>
    <w:rsid w:val="0045072C"/>
    <w:rsid w:val="00453955"/>
    <w:rsid w:val="00454B4C"/>
    <w:rsid w:val="004565DE"/>
    <w:rsid w:val="00462953"/>
    <w:rsid w:val="0046356D"/>
    <w:rsid w:val="00476B8E"/>
    <w:rsid w:val="00477BCF"/>
    <w:rsid w:val="004855BB"/>
    <w:rsid w:val="00490795"/>
    <w:rsid w:val="00493A3D"/>
    <w:rsid w:val="004968AB"/>
    <w:rsid w:val="004A743D"/>
    <w:rsid w:val="004B67D2"/>
    <w:rsid w:val="004B6A8E"/>
    <w:rsid w:val="004C55DC"/>
    <w:rsid w:val="00502478"/>
    <w:rsid w:val="00507FB8"/>
    <w:rsid w:val="00523C61"/>
    <w:rsid w:val="0052490C"/>
    <w:rsid w:val="00526565"/>
    <w:rsid w:val="00531F28"/>
    <w:rsid w:val="005320C3"/>
    <w:rsid w:val="00532A71"/>
    <w:rsid w:val="00532AA9"/>
    <w:rsid w:val="00536E37"/>
    <w:rsid w:val="00544CF0"/>
    <w:rsid w:val="005461BF"/>
    <w:rsid w:val="005463CF"/>
    <w:rsid w:val="00555FC1"/>
    <w:rsid w:val="005658AD"/>
    <w:rsid w:val="00573A45"/>
    <w:rsid w:val="00577B32"/>
    <w:rsid w:val="005844A8"/>
    <w:rsid w:val="005915E3"/>
    <w:rsid w:val="005958B1"/>
    <w:rsid w:val="00596F13"/>
    <w:rsid w:val="005A01DB"/>
    <w:rsid w:val="005A37AC"/>
    <w:rsid w:val="005A6229"/>
    <w:rsid w:val="005A68AB"/>
    <w:rsid w:val="005B4D49"/>
    <w:rsid w:val="005B53B3"/>
    <w:rsid w:val="005B6840"/>
    <w:rsid w:val="005C0BF3"/>
    <w:rsid w:val="005C2492"/>
    <w:rsid w:val="005C4411"/>
    <w:rsid w:val="005C445C"/>
    <w:rsid w:val="005C5C32"/>
    <w:rsid w:val="005C74E4"/>
    <w:rsid w:val="005D1531"/>
    <w:rsid w:val="005D3993"/>
    <w:rsid w:val="005E51AE"/>
    <w:rsid w:val="005E64C4"/>
    <w:rsid w:val="005F01D6"/>
    <w:rsid w:val="005F434E"/>
    <w:rsid w:val="005F5699"/>
    <w:rsid w:val="005F694A"/>
    <w:rsid w:val="005F7650"/>
    <w:rsid w:val="00605892"/>
    <w:rsid w:val="006064E2"/>
    <w:rsid w:val="006257BC"/>
    <w:rsid w:val="006301F5"/>
    <w:rsid w:val="0063772A"/>
    <w:rsid w:val="00646A14"/>
    <w:rsid w:val="0066123B"/>
    <w:rsid w:val="00670392"/>
    <w:rsid w:val="00673102"/>
    <w:rsid w:val="006765E4"/>
    <w:rsid w:val="00694C02"/>
    <w:rsid w:val="006B1B48"/>
    <w:rsid w:val="006B21B9"/>
    <w:rsid w:val="006C7FE4"/>
    <w:rsid w:val="006D2553"/>
    <w:rsid w:val="006D4C7F"/>
    <w:rsid w:val="006E3F53"/>
    <w:rsid w:val="006E655B"/>
    <w:rsid w:val="006F125A"/>
    <w:rsid w:val="00701A81"/>
    <w:rsid w:val="00703A7C"/>
    <w:rsid w:val="00707AE1"/>
    <w:rsid w:val="00712D89"/>
    <w:rsid w:val="00722E07"/>
    <w:rsid w:val="00724EEF"/>
    <w:rsid w:val="00725B4E"/>
    <w:rsid w:val="0072785C"/>
    <w:rsid w:val="00742600"/>
    <w:rsid w:val="007426CC"/>
    <w:rsid w:val="007450FA"/>
    <w:rsid w:val="00745B1F"/>
    <w:rsid w:val="00745DF4"/>
    <w:rsid w:val="007537FA"/>
    <w:rsid w:val="0075789A"/>
    <w:rsid w:val="007615F5"/>
    <w:rsid w:val="00764E6B"/>
    <w:rsid w:val="00771843"/>
    <w:rsid w:val="00783628"/>
    <w:rsid w:val="007B4012"/>
    <w:rsid w:val="007B4B32"/>
    <w:rsid w:val="007B56CC"/>
    <w:rsid w:val="007B5D06"/>
    <w:rsid w:val="007D0C7C"/>
    <w:rsid w:val="007D4B76"/>
    <w:rsid w:val="007E1F1E"/>
    <w:rsid w:val="007E7310"/>
    <w:rsid w:val="007F4196"/>
    <w:rsid w:val="007F54BD"/>
    <w:rsid w:val="007F5662"/>
    <w:rsid w:val="008063B2"/>
    <w:rsid w:val="00815707"/>
    <w:rsid w:val="00817DCB"/>
    <w:rsid w:val="00825EB8"/>
    <w:rsid w:val="0083558E"/>
    <w:rsid w:val="0084052C"/>
    <w:rsid w:val="008410C7"/>
    <w:rsid w:val="008517E3"/>
    <w:rsid w:val="00856FAF"/>
    <w:rsid w:val="00861718"/>
    <w:rsid w:val="00875370"/>
    <w:rsid w:val="00875CD7"/>
    <w:rsid w:val="008765BB"/>
    <w:rsid w:val="008767E9"/>
    <w:rsid w:val="0088345F"/>
    <w:rsid w:val="0088567E"/>
    <w:rsid w:val="00892B33"/>
    <w:rsid w:val="00894C57"/>
    <w:rsid w:val="008A5D37"/>
    <w:rsid w:val="008B1A8B"/>
    <w:rsid w:val="008B7566"/>
    <w:rsid w:val="008C1E00"/>
    <w:rsid w:val="008C45FF"/>
    <w:rsid w:val="008D2D6F"/>
    <w:rsid w:val="008D34BC"/>
    <w:rsid w:val="008E0705"/>
    <w:rsid w:val="008E3E0C"/>
    <w:rsid w:val="008E6FDF"/>
    <w:rsid w:val="008F2985"/>
    <w:rsid w:val="008F370F"/>
    <w:rsid w:val="008F574A"/>
    <w:rsid w:val="008F6430"/>
    <w:rsid w:val="00900FFA"/>
    <w:rsid w:val="00902069"/>
    <w:rsid w:val="009062B6"/>
    <w:rsid w:val="0091060B"/>
    <w:rsid w:val="009106B9"/>
    <w:rsid w:val="00910D14"/>
    <w:rsid w:val="009116A0"/>
    <w:rsid w:val="0091667A"/>
    <w:rsid w:val="009219F1"/>
    <w:rsid w:val="00922EC9"/>
    <w:rsid w:val="00925DA0"/>
    <w:rsid w:val="00930053"/>
    <w:rsid w:val="0093302F"/>
    <w:rsid w:val="00943242"/>
    <w:rsid w:val="0094625B"/>
    <w:rsid w:val="00946E29"/>
    <w:rsid w:val="00954F22"/>
    <w:rsid w:val="009656A8"/>
    <w:rsid w:val="00973E19"/>
    <w:rsid w:val="00977253"/>
    <w:rsid w:val="00980136"/>
    <w:rsid w:val="009914E1"/>
    <w:rsid w:val="009A7CAA"/>
    <w:rsid w:val="009B5C3E"/>
    <w:rsid w:val="009C2791"/>
    <w:rsid w:val="009C27B7"/>
    <w:rsid w:val="009C3D02"/>
    <w:rsid w:val="009C4356"/>
    <w:rsid w:val="009D1D3F"/>
    <w:rsid w:val="009D21CB"/>
    <w:rsid w:val="009D3D1F"/>
    <w:rsid w:val="009D5BC6"/>
    <w:rsid w:val="009D63B7"/>
    <w:rsid w:val="009E4289"/>
    <w:rsid w:val="009E4BEF"/>
    <w:rsid w:val="009F02F9"/>
    <w:rsid w:val="009F1141"/>
    <w:rsid w:val="009F1E9D"/>
    <w:rsid w:val="009F5123"/>
    <w:rsid w:val="00A06D0E"/>
    <w:rsid w:val="00A24FCE"/>
    <w:rsid w:val="00A2516E"/>
    <w:rsid w:val="00A342A2"/>
    <w:rsid w:val="00A34E78"/>
    <w:rsid w:val="00A36F0F"/>
    <w:rsid w:val="00A50597"/>
    <w:rsid w:val="00A547FE"/>
    <w:rsid w:val="00A55723"/>
    <w:rsid w:val="00A566A8"/>
    <w:rsid w:val="00A61A71"/>
    <w:rsid w:val="00A638A3"/>
    <w:rsid w:val="00A70964"/>
    <w:rsid w:val="00A766F6"/>
    <w:rsid w:val="00A82CB1"/>
    <w:rsid w:val="00A86B86"/>
    <w:rsid w:val="00A92596"/>
    <w:rsid w:val="00A97ACD"/>
    <w:rsid w:val="00AA2CDB"/>
    <w:rsid w:val="00AA6D4E"/>
    <w:rsid w:val="00AB78DF"/>
    <w:rsid w:val="00AC0BEB"/>
    <w:rsid w:val="00AD1E3F"/>
    <w:rsid w:val="00AD2953"/>
    <w:rsid w:val="00AE0818"/>
    <w:rsid w:val="00AE26EF"/>
    <w:rsid w:val="00AE3C36"/>
    <w:rsid w:val="00AE692D"/>
    <w:rsid w:val="00AF312C"/>
    <w:rsid w:val="00B01AC5"/>
    <w:rsid w:val="00B02B13"/>
    <w:rsid w:val="00B11D57"/>
    <w:rsid w:val="00B27814"/>
    <w:rsid w:val="00B3551B"/>
    <w:rsid w:val="00B36689"/>
    <w:rsid w:val="00B41F02"/>
    <w:rsid w:val="00B4267D"/>
    <w:rsid w:val="00B4337F"/>
    <w:rsid w:val="00B5163A"/>
    <w:rsid w:val="00B53FE2"/>
    <w:rsid w:val="00B61EE2"/>
    <w:rsid w:val="00B66DE0"/>
    <w:rsid w:val="00B81F09"/>
    <w:rsid w:val="00B84C6C"/>
    <w:rsid w:val="00B87AD1"/>
    <w:rsid w:val="00B93692"/>
    <w:rsid w:val="00B96880"/>
    <w:rsid w:val="00B97C2C"/>
    <w:rsid w:val="00BA2B23"/>
    <w:rsid w:val="00BB3DCC"/>
    <w:rsid w:val="00BB7356"/>
    <w:rsid w:val="00BC0890"/>
    <w:rsid w:val="00BD15A2"/>
    <w:rsid w:val="00BD6DE2"/>
    <w:rsid w:val="00BE2190"/>
    <w:rsid w:val="00BF7B41"/>
    <w:rsid w:val="00C023BF"/>
    <w:rsid w:val="00C04CC5"/>
    <w:rsid w:val="00C144B7"/>
    <w:rsid w:val="00C14629"/>
    <w:rsid w:val="00C14829"/>
    <w:rsid w:val="00C14F92"/>
    <w:rsid w:val="00C158DB"/>
    <w:rsid w:val="00C17B0E"/>
    <w:rsid w:val="00C24D82"/>
    <w:rsid w:val="00C250F5"/>
    <w:rsid w:val="00C2777B"/>
    <w:rsid w:val="00C32B26"/>
    <w:rsid w:val="00C446D1"/>
    <w:rsid w:val="00C50856"/>
    <w:rsid w:val="00C51FE8"/>
    <w:rsid w:val="00C6266C"/>
    <w:rsid w:val="00C72DB6"/>
    <w:rsid w:val="00C732D5"/>
    <w:rsid w:val="00C73F90"/>
    <w:rsid w:val="00C75E1B"/>
    <w:rsid w:val="00C84029"/>
    <w:rsid w:val="00C86E17"/>
    <w:rsid w:val="00C94231"/>
    <w:rsid w:val="00CA3A43"/>
    <w:rsid w:val="00CA5F61"/>
    <w:rsid w:val="00CA70F0"/>
    <w:rsid w:val="00CB0325"/>
    <w:rsid w:val="00CB445E"/>
    <w:rsid w:val="00CB66F5"/>
    <w:rsid w:val="00CB777C"/>
    <w:rsid w:val="00CB7E2A"/>
    <w:rsid w:val="00CC4E3D"/>
    <w:rsid w:val="00CC582E"/>
    <w:rsid w:val="00CC676F"/>
    <w:rsid w:val="00CC6CCA"/>
    <w:rsid w:val="00CC700C"/>
    <w:rsid w:val="00CD01BF"/>
    <w:rsid w:val="00CD555E"/>
    <w:rsid w:val="00CD7616"/>
    <w:rsid w:val="00CE3073"/>
    <w:rsid w:val="00CE3CFD"/>
    <w:rsid w:val="00CE6685"/>
    <w:rsid w:val="00CF1FCA"/>
    <w:rsid w:val="00D01C1B"/>
    <w:rsid w:val="00D3616F"/>
    <w:rsid w:val="00D42F56"/>
    <w:rsid w:val="00D471D8"/>
    <w:rsid w:val="00D50738"/>
    <w:rsid w:val="00D51A4A"/>
    <w:rsid w:val="00D70496"/>
    <w:rsid w:val="00D83783"/>
    <w:rsid w:val="00D8473B"/>
    <w:rsid w:val="00DA18B7"/>
    <w:rsid w:val="00DA3B9F"/>
    <w:rsid w:val="00DA3C4D"/>
    <w:rsid w:val="00DA6F65"/>
    <w:rsid w:val="00DB011F"/>
    <w:rsid w:val="00DB6069"/>
    <w:rsid w:val="00DC5F1F"/>
    <w:rsid w:val="00DD0EB6"/>
    <w:rsid w:val="00DD286C"/>
    <w:rsid w:val="00DD53B0"/>
    <w:rsid w:val="00DD5C01"/>
    <w:rsid w:val="00DE5D4B"/>
    <w:rsid w:val="00DF2C6A"/>
    <w:rsid w:val="00DF73D5"/>
    <w:rsid w:val="00E02752"/>
    <w:rsid w:val="00E04011"/>
    <w:rsid w:val="00E13002"/>
    <w:rsid w:val="00E24F67"/>
    <w:rsid w:val="00E26806"/>
    <w:rsid w:val="00E33508"/>
    <w:rsid w:val="00E36331"/>
    <w:rsid w:val="00E36407"/>
    <w:rsid w:val="00E40A6B"/>
    <w:rsid w:val="00E417BF"/>
    <w:rsid w:val="00E456C8"/>
    <w:rsid w:val="00E47EB7"/>
    <w:rsid w:val="00E6216A"/>
    <w:rsid w:val="00E66D3A"/>
    <w:rsid w:val="00E74BB5"/>
    <w:rsid w:val="00E851F9"/>
    <w:rsid w:val="00E952E2"/>
    <w:rsid w:val="00E95DDA"/>
    <w:rsid w:val="00EA04D9"/>
    <w:rsid w:val="00EA0825"/>
    <w:rsid w:val="00EA3735"/>
    <w:rsid w:val="00EA403C"/>
    <w:rsid w:val="00EA735F"/>
    <w:rsid w:val="00EC6D75"/>
    <w:rsid w:val="00ED0C1E"/>
    <w:rsid w:val="00ED1C73"/>
    <w:rsid w:val="00ED34AA"/>
    <w:rsid w:val="00EE2862"/>
    <w:rsid w:val="00EE7880"/>
    <w:rsid w:val="00F031EB"/>
    <w:rsid w:val="00F037ED"/>
    <w:rsid w:val="00F10840"/>
    <w:rsid w:val="00F27340"/>
    <w:rsid w:val="00F32E5E"/>
    <w:rsid w:val="00F339BE"/>
    <w:rsid w:val="00F35FCF"/>
    <w:rsid w:val="00F4007F"/>
    <w:rsid w:val="00F4553F"/>
    <w:rsid w:val="00F47515"/>
    <w:rsid w:val="00F52AF7"/>
    <w:rsid w:val="00F55ACC"/>
    <w:rsid w:val="00F640DE"/>
    <w:rsid w:val="00F65553"/>
    <w:rsid w:val="00F74232"/>
    <w:rsid w:val="00F75088"/>
    <w:rsid w:val="00F767F0"/>
    <w:rsid w:val="00F85D7C"/>
    <w:rsid w:val="00F92539"/>
    <w:rsid w:val="00F929FA"/>
    <w:rsid w:val="00F9392D"/>
    <w:rsid w:val="00FA51A8"/>
    <w:rsid w:val="00FA5FAA"/>
    <w:rsid w:val="00FA60CD"/>
    <w:rsid w:val="00FA614F"/>
    <w:rsid w:val="00FA62E7"/>
    <w:rsid w:val="00FB0481"/>
    <w:rsid w:val="00FB30E4"/>
    <w:rsid w:val="00FB51D5"/>
    <w:rsid w:val="00FD10C0"/>
    <w:rsid w:val="00FD153B"/>
    <w:rsid w:val="00FD5E18"/>
    <w:rsid w:val="00FE2E20"/>
    <w:rsid w:val="00FE5A43"/>
    <w:rsid w:val="00FF17E5"/>
    <w:rsid w:val="00FF5F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462ED"/>
  <w15:chartTrackingRefBased/>
  <w15:docId w15:val="{EEF070DA-5B8A-4758-8B06-54197FA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lang w:val="en-US" w:eastAsia="ru-RU"/>
    </w:rPr>
  </w:style>
  <w:style w:type="paragraph" w:styleId="3">
    <w:name w:val="heading 3"/>
    <w:basedOn w:val="a"/>
    <w:next w:val="a"/>
    <w:autoRedefine/>
    <w:qFormat/>
    <w:rsid w:val="00FE5A43"/>
    <w:pPr>
      <w:keepNext/>
      <w:shd w:val="clear" w:color="auto" w:fill="FFFFFF"/>
      <w:overflowPunct w:val="0"/>
      <w:autoSpaceDE w:val="0"/>
      <w:autoSpaceDN w:val="0"/>
      <w:adjustRightInd w:val="0"/>
      <w:ind w:firstLine="567"/>
      <w:jc w:val="both"/>
      <w:textAlignment w:val="baseline"/>
      <w:outlineLvl w:val="2"/>
    </w:pPr>
    <w:rPr>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224CCD"/>
    <w:rPr>
      <w:lang w:val="uk-UA"/>
    </w:rPr>
  </w:style>
  <w:style w:type="paragraph" w:styleId="2">
    <w:name w:val="Body Text Indent 2"/>
    <w:basedOn w:val="a"/>
    <w:rsid w:val="00C86E17"/>
    <w:pPr>
      <w:ind w:firstLine="900"/>
      <w:jc w:val="both"/>
    </w:pPr>
    <w:rPr>
      <w:szCs w:val="20"/>
      <w:lang w:val="uk-UA"/>
    </w:rPr>
  </w:style>
  <w:style w:type="paragraph" w:styleId="a3">
    <w:name w:val="header"/>
    <w:basedOn w:val="a"/>
    <w:link w:val="a4"/>
    <w:uiPriority w:val="99"/>
    <w:rsid w:val="00D50738"/>
    <w:pPr>
      <w:tabs>
        <w:tab w:val="center" w:pos="4677"/>
        <w:tab w:val="right" w:pos="9355"/>
      </w:tabs>
    </w:pPr>
  </w:style>
  <w:style w:type="paragraph" w:styleId="a5">
    <w:name w:val="footer"/>
    <w:basedOn w:val="a"/>
    <w:rsid w:val="00D50738"/>
    <w:pPr>
      <w:tabs>
        <w:tab w:val="center" w:pos="4677"/>
        <w:tab w:val="right" w:pos="9355"/>
      </w:tabs>
    </w:pPr>
  </w:style>
  <w:style w:type="paragraph" w:styleId="30">
    <w:name w:val="Body Text Indent 3"/>
    <w:basedOn w:val="a"/>
    <w:rsid w:val="005D1531"/>
    <w:pPr>
      <w:spacing w:after="120"/>
      <w:ind w:left="283"/>
    </w:pPr>
    <w:rPr>
      <w:sz w:val="16"/>
      <w:szCs w:val="16"/>
    </w:rPr>
  </w:style>
  <w:style w:type="paragraph" w:styleId="a6">
    <w:name w:val="Body Text"/>
    <w:basedOn w:val="a"/>
    <w:rsid w:val="00493A3D"/>
    <w:pPr>
      <w:spacing w:after="120"/>
    </w:pPr>
  </w:style>
  <w:style w:type="paragraph" w:styleId="a7">
    <w:name w:val="Plain Text"/>
    <w:basedOn w:val="a"/>
    <w:rsid w:val="00493A3D"/>
    <w:pPr>
      <w:overflowPunct w:val="0"/>
      <w:autoSpaceDE w:val="0"/>
      <w:autoSpaceDN w:val="0"/>
      <w:adjustRightInd w:val="0"/>
    </w:pPr>
    <w:rPr>
      <w:rFonts w:ascii="Courier New" w:hAnsi="Courier New" w:cs="Courier New"/>
      <w:sz w:val="20"/>
      <w:szCs w:val="20"/>
      <w:lang w:val="en-GB"/>
    </w:rPr>
  </w:style>
  <w:style w:type="paragraph" w:styleId="a8">
    <w:name w:val="Balloon Text"/>
    <w:basedOn w:val="a"/>
    <w:semiHidden/>
    <w:rsid w:val="00C50856"/>
    <w:rPr>
      <w:rFonts w:ascii="Tahoma" w:hAnsi="Tahoma" w:cs="Tahoma"/>
      <w:sz w:val="16"/>
      <w:szCs w:val="16"/>
    </w:rPr>
  </w:style>
  <w:style w:type="character" w:styleId="a9">
    <w:name w:val="Strong"/>
    <w:qFormat/>
    <w:rsid w:val="00861718"/>
    <w:rPr>
      <w:rFonts w:ascii="Times New Roman" w:hAnsi="Times New Roman" w:cs="Times New Roman" w:hint="default"/>
      <w:b/>
      <w:bCs/>
    </w:rPr>
  </w:style>
  <w:style w:type="table" w:styleId="aa">
    <w:name w:val="Table Grid"/>
    <w:basedOn w:val="a1"/>
    <w:rsid w:val="00A70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C27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a4">
    <w:name w:val="Верхній колонтитул Знак"/>
    <w:basedOn w:val="a0"/>
    <w:link w:val="a3"/>
    <w:uiPriority w:val="99"/>
    <w:rsid w:val="0083558E"/>
    <w:rPr>
      <w:sz w:val="28"/>
      <w:szCs w:val="28"/>
      <w:lang w:val="en-US" w:eastAsia="ru-RU"/>
    </w:rPr>
  </w:style>
  <w:style w:type="paragraph" w:styleId="ab">
    <w:name w:val="footnote text"/>
    <w:basedOn w:val="a"/>
    <w:link w:val="ac"/>
    <w:rsid w:val="00C04CC5"/>
    <w:rPr>
      <w:sz w:val="20"/>
      <w:szCs w:val="20"/>
      <w:lang w:val="uk-UA"/>
    </w:rPr>
  </w:style>
  <w:style w:type="character" w:customStyle="1" w:styleId="ac">
    <w:name w:val="Текст виноски Знак"/>
    <w:basedOn w:val="a0"/>
    <w:link w:val="ab"/>
    <w:rsid w:val="00C04CC5"/>
    <w:rPr>
      <w:lang w:eastAsia="ru-RU"/>
    </w:rPr>
  </w:style>
  <w:style w:type="character" w:styleId="ad">
    <w:name w:val="footnote reference"/>
    <w:basedOn w:val="a0"/>
    <w:rsid w:val="00C04CC5"/>
    <w:rPr>
      <w:vertAlign w:val="superscript"/>
    </w:rPr>
  </w:style>
  <w:style w:type="paragraph" w:customStyle="1" w:styleId="10">
    <w:name w:val="Абзац списку1"/>
    <w:basedOn w:val="a"/>
    <w:qFormat/>
    <w:rsid w:val="00FB30E4"/>
    <w:pPr>
      <w:spacing w:after="200" w:line="276" w:lineRule="auto"/>
      <w:ind w:left="720"/>
      <w:contextualSpacing/>
    </w:pPr>
    <w:rPr>
      <w:rFonts w:ascii="Calibri" w:eastAsia="Calibri" w:hAnsi="Calibri"/>
      <w:sz w:val="22"/>
      <w:szCs w:val="22"/>
      <w:lang w:val="ru-RU" w:eastAsia="en-US"/>
    </w:rPr>
  </w:style>
  <w:style w:type="paragraph" w:styleId="ae">
    <w:name w:val="List Paragraph"/>
    <w:basedOn w:val="a"/>
    <w:uiPriority w:val="34"/>
    <w:qFormat/>
    <w:rsid w:val="00FB30E4"/>
    <w:pPr>
      <w:ind w:left="720"/>
      <w:contextualSpacing/>
    </w:pPr>
    <w:rPr>
      <w:lang w:val="uk-UA"/>
    </w:rPr>
  </w:style>
  <w:style w:type="paragraph" w:customStyle="1" w:styleId="rvps2">
    <w:name w:val="rvps2"/>
    <w:basedOn w:val="a"/>
    <w:rsid w:val="00FB30E4"/>
    <w:pPr>
      <w:spacing w:before="100" w:beforeAutospacing="1" w:after="100" w:afterAutospacing="1"/>
    </w:pPr>
    <w:rPr>
      <w:sz w:val="24"/>
      <w:szCs w:val="24"/>
      <w:lang w:eastAsia="en-US"/>
    </w:rPr>
  </w:style>
  <w:style w:type="paragraph" w:customStyle="1" w:styleId="af">
    <w:name w:val="Нормальний текст"/>
    <w:basedOn w:val="a"/>
    <w:qFormat/>
    <w:rsid w:val="005C5C32"/>
    <w:pPr>
      <w:spacing w:before="120"/>
      <w:ind w:firstLine="567"/>
      <w:jc w:val="both"/>
    </w:pPr>
    <w:rPr>
      <w:rFonts w:ascii="Antiqua" w:hAnsi="Antiqua"/>
      <w:sz w:val="26"/>
      <w:szCs w:val="20"/>
      <w:lang w:val="uk-UA"/>
    </w:rPr>
  </w:style>
  <w:style w:type="character" w:styleId="af0">
    <w:name w:val="Emphasis"/>
    <w:basedOn w:val="a0"/>
    <w:uiPriority w:val="20"/>
    <w:qFormat/>
    <w:rsid w:val="005C5C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4434">
      <w:bodyDiv w:val="1"/>
      <w:marLeft w:val="0"/>
      <w:marRight w:val="0"/>
      <w:marTop w:val="0"/>
      <w:marBottom w:val="0"/>
      <w:divBdr>
        <w:top w:val="none" w:sz="0" w:space="0" w:color="auto"/>
        <w:left w:val="none" w:sz="0" w:space="0" w:color="auto"/>
        <w:bottom w:val="none" w:sz="0" w:space="0" w:color="auto"/>
        <w:right w:val="none" w:sz="0" w:space="0" w:color="auto"/>
      </w:divBdr>
    </w:div>
    <w:div w:id="115107358">
      <w:bodyDiv w:val="1"/>
      <w:marLeft w:val="0"/>
      <w:marRight w:val="0"/>
      <w:marTop w:val="0"/>
      <w:marBottom w:val="0"/>
      <w:divBdr>
        <w:top w:val="none" w:sz="0" w:space="0" w:color="auto"/>
        <w:left w:val="none" w:sz="0" w:space="0" w:color="auto"/>
        <w:bottom w:val="none" w:sz="0" w:space="0" w:color="auto"/>
        <w:right w:val="none" w:sz="0" w:space="0" w:color="auto"/>
      </w:divBdr>
    </w:div>
    <w:div w:id="121776392">
      <w:bodyDiv w:val="1"/>
      <w:marLeft w:val="0"/>
      <w:marRight w:val="0"/>
      <w:marTop w:val="0"/>
      <w:marBottom w:val="0"/>
      <w:divBdr>
        <w:top w:val="none" w:sz="0" w:space="0" w:color="auto"/>
        <w:left w:val="none" w:sz="0" w:space="0" w:color="auto"/>
        <w:bottom w:val="none" w:sz="0" w:space="0" w:color="auto"/>
        <w:right w:val="none" w:sz="0" w:space="0" w:color="auto"/>
      </w:divBdr>
    </w:div>
    <w:div w:id="222789475">
      <w:bodyDiv w:val="1"/>
      <w:marLeft w:val="0"/>
      <w:marRight w:val="0"/>
      <w:marTop w:val="0"/>
      <w:marBottom w:val="0"/>
      <w:divBdr>
        <w:top w:val="none" w:sz="0" w:space="0" w:color="auto"/>
        <w:left w:val="none" w:sz="0" w:space="0" w:color="auto"/>
        <w:bottom w:val="none" w:sz="0" w:space="0" w:color="auto"/>
        <w:right w:val="none" w:sz="0" w:space="0" w:color="auto"/>
      </w:divBdr>
    </w:div>
    <w:div w:id="262805529">
      <w:bodyDiv w:val="1"/>
      <w:marLeft w:val="0"/>
      <w:marRight w:val="0"/>
      <w:marTop w:val="0"/>
      <w:marBottom w:val="0"/>
      <w:divBdr>
        <w:top w:val="none" w:sz="0" w:space="0" w:color="auto"/>
        <w:left w:val="none" w:sz="0" w:space="0" w:color="auto"/>
        <w:bottom w:val="none" w:sz="0" w:space="0" w:color="auto"/>
        <w:right w:val="none" w:sz="0" w:space="0" w:color="auto"/>
      </w:divBdr>
    </w:div>
    <w:div w:id="362554192">
      <w:bodyDiv w:val="1"/>
      <w:marLeft w:val="0"/>
      <w:marRight w:val="0"/>
      <w:marTop w:val="0"/>
      <w:marBottom w:val="0"/>
      <w:divBdr>
        <w:top w:val="none" w:sz="0" w:space="0" w:color="auto"/>
        <w:left w:val="none" w:sz="0" w:space="0" w:color="auto"/>
        <w:bottom w:val="none" w:sz="0" w:space="0" w:color="auto"/>
        <w:right w:val="none" w:sz="0" w:space="0" w:color="auto"/>
      </w:divBdr>
    </w:div>
    <w:div w:id="469053845">
      <w:bodyDiv w:val="1"/>
      <w:marLeft w:val="0"/>
      <w:marRight w:val="0"/>
      <w:marTop w:val="0"/>
      <w:marBottom w:val="0"/>
      <w:divBdr>
        <w:top w:val="none" w:sz="0" w:space="0" w:color="auto"/>
        <w:left w:val="none" w:sz="0" w:space="0" w:color="auto"/>
        <w:bottom w:val="none" w:sz="0" w:space="0" w:color="auto"/>
        <w:right w:val="none" w:sz="0" w:space="0" w:color="auto"/>
      </w:divBdr>
      <w:divsChild>
        <w:div w:id="1118184787">
          <w:marLeft w:val="0"/>
          <w:marRight w:val="0"/>
          <w:marTop w:val="0"/>
          <w:marBottom w:val="0"/>
          <w:divBdr>
            <w:top w:val="none" w:sz="0" w:space="0" w:color="auto"/>
            <w:left w:val="none" w:sz="0" w:space="0" w:color="auto"/>
            <w:bottom w:val="none" w:sz="0" w:space="0" w:color="auto"/>
            <w:right w:val="none" w:sz="0" w:space="0" w:color="auto"/>
          </w:divBdr>
        </w:div>
        <w:div w:id="1791557908">
          <w:marLeft w:val="0"/>
          <w:marRight w:val="0"/>
          <w:marTop w:val="0"/>
          <w:marBottom w:val="0"/>
          <w:divBdr>
            <w:top w:val="none" w:sz="0" w:space="0" w:color="auto"/>
            <w:left w:val="none" w:sz="0" w:space="0" w:color="auto"/>
            <w:bottom w:val="none" w:sz="0" w:space="0" w:color="auto"/>
            <w:right w:val="none" w:sz="0" w:space="0" w:color="auto"/>
          </w:divBdr>
        </w:div>
      </w:divsChild>
    </w:div>
    <w:div w:id="556015927">
      <w:bodyDiv w:val="1"/>
      <w:marLeft w:val="0"/>
      <w:marRight w:val="0"/>
      <w:marTop w:val="0"/>
      <w:marBottom w:val="0"/>
      <w:divBdr>
        <w:top w:val="none" w:sz="0" w:space="0" w:color="auto"/>
        <w:left w:val="none" w:sz="0" w:space="0" w:color="auto"/>
        <w:bottom w:val="none" w:sz="0" w:space="0" w:color="auto"/>
        <w:right w:val="none" w:sz="0" w:space="0" w:color="auto"/>
      </w:divBdr>
    </w:div>
    <w:div w:id="569728253">
      <w:bodyDiv w:val="1"/>
      <w:marLeft w:val="0"/>
      <w:marRight w:val="0"/>
      <w:marTop w:val="0"/>
      <w:marBottom w:val="0"/>
      <w:divBdr>
        <w:top w:val="none" w:sz="0" w:space="0" w:color="auto"/>
        <w:left w:val="none" w:sz="0" w:space="0" w:color="auto"/>
        <w:bottom w:val="none" w:sz="0" w:space="0" w:color="auto"/>
        <w:right w:val="none" w:sz="0" w:space="0" w:color="auto"/>
      </w:divBdr>
    </w:div>
    <w:div w:id="600721957">
      <w:bodyDiv w:val="1"/>
      <w:marLeft w:val="0"/>
      <w:marRight w:val="0"/>
      <w:marTop w:val="0"/>
      <w:marBottom w:val="0"/>
      <w:divBdr>
        <w:top w:val="none" w:sz="0" w:space="0" w:color="auto"/>
        <w:left w:val="none" w:sz="0" w:space="0" w:color="auto"/>
        <w:bottom w:val="none" w:sz="0" w:space="0" w:color="auto"/>
        <w:right w:val="none" w:sz="0" w:space="0" w:color="auto"/>
      </w:divBdr>
    </w:div>
    <w:div w:id="650718799">
      <w:bodyDiv w:val="1"/>
      <w:marLeft w:val="0"/>
      <w:marRight w:val="0"/>
      <w:marTop w:val="0"/>
      <w:marBottom w:val="0"/>
      <w:divBdr>
        <w:top w:val="none" w:sz="0" w:space="0" w:color="auto"/>
        <w:left w:val="none" w:sz="0" w:space="0" w:color="auto"/>
        <w:bottom w:val="none" w:sz="0" w:space="0" w:color="auto"/>
        <w:right w:val="none" w:sz="0" w:space="0" w:color="auto"/>
      </w:divBdr>
    </w:div>
    <w:div w:id="703023477">
      <w:bodyDiv w:val="1"/>
      <w:marLeft w:val="0"/>
      <w:marRight w:val="0"/>
      <w:marTop w:val="0"/>
      <w:marBottom w:val="0"/>
      <w:divBdr>
        <w:top w:val="none" w:sz="0" w:space="0" w:color="auto"/>
        <w:left w:val="none" w:sz="0" w:space="0" w:color="auto"/>
        <w:bottom w:val="none" w:sz="0" w:space="0" w:color="auto"/>
        <w:right w:val="none" w:sz="0" w:space="0" w:color="auto"/>
      </w:divBdr>
    </w:div>
    <w:div w:id="853422730">
      <w:bodyDiv w:val="1"/>
      <w:marLeft w:val="0"/>
      <w:marRight w:val="0"/>
      <w:marTop w:val="0"/>
      <w:marBottom w:val="0"/>
      <w:divBdr>
        <w:top w:val="none" w:sz="0" w:space="0" w:color="auto"/>
        <w:left w:val="none" w:sz="0" w:space="0" w:color="auto"/>
        <w:bottom w:val="none" w:sz="0" w:space="0" w:color="auto"/>
        <w:right w:val="none" w:sz="0" w:space="0" w:color="auto"/>
      </w:divBdr>
    </w:div>
    <w:div w:id="924606397">
      <w:bodyDiv w:val="1"/>
      <w:marLeft w:val="0"/>
      <w:marRight w:val="0"/>
      <w:marTop w:val="0"/>
      <w:marBottom w:val="0"/>
      <w:divBdr>
        <w:top w:val="none" w:sz="0" w:space="0" w:color="auto"/>
        <w:left w:val="none" w:sz="0" w:space="0" w:color="auto"/>
        <w:bottom w:val="none" w:sz="0" w:space="0" w:color="auto"/>
        <w:right w:val="none" w:sz="0" w:space="0" w:color="auto"/>
      </w:divBdr>
    </w:div>
    <w:div w:id="984091078">
      <w:bodyDiv w:val="1"/>
      <w:marLeft w:val="0"/>
      <w:marRight w:val="0"/>
      <w:marTop w:val="0"/>
      <w:marBottom w:val="0"/>
      <w:divBdr>
        <w:top w:val="none" w:sz="0" w:space="0" w:color="auto"/>
        <w:left w:val="none" w:sz="0" w:space="0" w:color="auto"/>
        <w:bottom w:val="none" w:sz="0" w:space="0" w:color="auto"/>
        <w:right w:val="none" w:sz="0" w:space="0" w:color="auto"/>
      </w:divBdr>
    </w:div>
    <w:div w:id="1070619580">
      <w:bodyDiv w:val="1"/>
      <w:marLeft w:val="0"/>
      <w:marRight w:val="0"/>
      <w:marTop w:val="0"/>
      <w:marBottom w:val="0"/>
      <w:divBdr>
        <w:top w:val="none" w:sz="0" w:space="0" w:color="auto"/>
        <w:left w:val="none" w:sz="0" w:space="0" w:color="auto"/>
        <w:bottom w:val="none" w:sz="0" w:space="0" w:color="auto"/>
        <w:right w:val="none" w:sz="0" w:space="0" w:color="auto"/>
      </w:divBdr>
    </w:div>
    <w:div w:id="1113137111">
      <w:bodyDiv w:val="1"/>
      <w:marLeft w:val="0"/>
      <w:marRight w:val="0"/>
      <w:marTop w:val="0"/>
      <w:marBottom w:val="0"/>
      <w:divBdr>
        <w:top w:val="none" w:sz="0" w:space="0" w:color="auto"/>
        <w:left w:val="none" w:sz="0" w:space="0" w:color="auto"/>
        <w:bottom w:val="none" w:sz="0" w:space="0" w:color="auto"/>
        <w:right w:val="none" w:sz="0" w:space="0" w:color="auto"/>
      </w:divBdr>
    </w:div>
    <w:div w:id="1206521478">
      <w:bodyDiv w:val="1"/>
      <w:marLeft w:val="0"/>
      <w:marRight w:val="0"/>
      <w:marTop w:val="0"/>
      <w:marBottom w:val="0"/>
      <w:divBdr>
        <w:top w:val="none" w:sz="0" w:space="0" w:color="auto"/>
        <w:left w:val="none" w:sz="0" w:space="0" w:color="auto"/>
        <w:bottom w:val="none" w:sz="0" w:space="0" w:color="auto"/>
        <w:right w:val="none" w:sz="0" w:space="0" w:color="auto"/>
      </w:divBdr>
    </w:div>
    <w:div w:id="1247419451">
      <w:bodyDiv w:val="1"/>
      <w:marLeft w:val="0"/>
      <w:marRight w:val="0"/>
      <w:marTop w:val="0"/>
      <w:marBottom w:val="0"/>
      <w:divBdr>
        <w:top w:val="none" w:sz="0" w:space="0" w:color="auto"/>
        <w:left w:val="none" w:sz="0" w:space="0" w:color="auto"/>
        <w:bottom w:val="none" w:sz="0" w:space="0" w:color="auto"/>
        <w:right w:val="none" w:sz="0" w:space="0" w:color="auto"/>
      </w:divBdr>
    </w:div>
    <w:div w:id="1448818779">
      <w:bodyDiv w:val="1"/>
      <w:marLeft w:val="0"/>
      <w:marRight w:val="0"/>
      <w:marTop w:val="0"/>
      <w:marBottom w:val="0"/>
      <w:divBdr>
        <w:top w:val="none" w:sz="0" w:space="0" w:color="auto"/>
        <w:left w:val="none" w:sz="0" w:space="0" w:color="auto"/>
        <w:bottom w:val="none" w:sz="0" w:space="0" w:color="auto"/>
        <w:right w:val="none" w:sz="0" w:space="0" w:color="auto"/>
      </w:divBdr>
    </w:div>
    <w:div w:id="1487165672">
      <w:bodyDiv w:val="1"/>
      <w:marLeft w:val="0"/>
      <w:marRight w:val="0"/>
      <w:marTop w:val="0"/>
      <w:marBottom w:val="0"/>
      <w:divBdr>
        <w:top w:val="none" w:sz="0" w:space="0" w:color="auto"/>
        <w:left w:val="none" w:sz="0" w:space="0" w:color="auto"/>
        <w:bottom w:val="none" w:sz="0" w:space="0" w:color="auto"/>
        <w:right w:val="none" w:sz="0" w:space="0" w:color="auto"/>
      </w:divBdr>
    </w:div>
    <w:div w:id="1721900536">
      <w:bodyDiv w:val="1"/>
      <w:marLeft w:val="0"/>
      <w:marRight w:val="0"/>
      <w:marTop w:val="0"/>
      <w:marBottom w:val="0"/>
      <w:divBdr>
        <w:top w:val="none" w:sz="0" w:space="0" w:color="auto"/>
        <w:left w:val="none" w:sz="0" w:space="0" w:color="auto"/>
        <w:bottom w:val="none" w:sz="0" w:space="0" w:color="auto"/>
        <w:right w:val="none" w:sz="0" w:space="0" w:color="auto"/>
      </w:divBdr>
    </w:div>
    <w:div w:id="1908834286">
      <w:bodyDiv w:val="1"/>
      <w:marLeft w:val="0"/>
      <w:marRight w:val="0"/>
      <w:marTop w:val="0"/>
      <w:marBottom w:val="0"/>
      <w:divBdr>
        <w:top w:val="none" w:sz="0" w:space="0" w:color="auto"/>
        <w:left w:val="none" w:sz="0" w:space="0" w:color="auto"/>
        <w:bottom w:val="none" w:sz="0" w:space="0" w:color="auto"/>
        <w:right w:val="none" w:sz="0" w:space="0" w:color="auto"/>
      </w:divBdr>
    </w:div>
    <w:div w:id="1928729937">
      <w:bodyDiv w:val="1"/>
      <w:marLeft w:val="0"/>
      <w:marRight w:val="0"/>
      <w:marTop w:val="0"/>
      <w:marBottom w:val="0"/>
      <w:divBdr>
        <w:top w:val="none" w:sz="0" w:space="0" w:color="auto"/>
        <w:left w:val="none" w:sz="0" w:space="0" w:color="auto"/>
        <w:bottom w:val="none" w:sz="0" w:space="0" w:color="auto"/>
        <w:right w:val="none" w:sz="0" w:space="0" w:color="auto"/>
      </w:divBdr>
    </w:div>
    <w:div w:id="1977442671">
      <w:bodyDiv w:val="1"/>
      <w:marLeft w:val="0"/>
      <w:marRight w:val="0"/>
      <w:marTop w:val="0"/>
      <w:marBottom w:val="0"/>
      <w:divBdr>
        <w:top w:val="none" w:sz="0" w:space="0" w:color="auto"/>
        <w:left w:val="none" w:sz="0" w:space="0" w:color="auto"/>
        <w:bottom w:val="none" w:sz="0" w:space="0" w:color="auto"/>
        <w:right w:val="none" w:sz="0" w:space="0" w:color="auto"/>
      </w:divBdr>
    </w:div>
    <w:div w:id="1986469639">
      <w:bodyDiv w:val="1"/>
      <w:marLeft w:val="0"/>
      <w:marRight w:val="0"/>
      <w:marTop w:val="0"/>
      <w:marBottom w:val="0"/>
      <w:divBdr>
        <w:top w:val="none" w:sz="0" w:space="0" w:color="auto"/>
        <w:left w:val="none" w:sz="0" w:space="0" w:color="auto"/>
        <w:bottom w:val="none" w:sz="0" w:space="0" w:color="auto"/>
        <w:right w:val="none" w:sz="0" w:space="0" w:color="auto"/>
      </w:divBdr>
    </w:div>
    <w:div w:id="2013332351">
      <w:bodyDiv w:val="1"/>
      <w:marLeft w:val="0"/>
      <w:marRight w:val="0"/>
      <w:marTop w:val="0"/>
      <w:marBottom w:val="0"/>
      <w:divBdr>
        <w:top w:val="none" w:sz="0" w:space="0" w:color="auto"/>
        <w:left w:val="none" w:sz="0" w:space="0" w:color="auto"/>
        <w:bottom w:val="none" w:sz="0" w:space="0" w:color="auto"/>
        <w:right w:val="none" w:sz="0" w:space="0" w:color="auto"/>
      </w:divBdr>
    </w:div>
    <w:div w:id="2015456361">
      <w:bodyDiv w:val="1"/>
      <w:marLeft w:val="0"/>
      <w:marRight w:val="0"/>
      <w:marTop w:val="0"/>
      <w:marBottom w:val="0"/>
      <w:divBdr>
        <w:top w:val="none" w:sz="0" w:space="0" w:color="auto"/>
        <w:left w:val="none" w:sz="0" w:space="0" w:color="auto"/>
        <w:bottom w:val="none" w:sz="0" w:space="0" w:color="auto"/>
        <w:right w:val="none" w:sz="0" w:space="0" w:color="auto"/>
      </w:divBdr>
    </w:div>
    <w:div w:id="2049600170">
      <w:bodyDiv w:val="1"/>
      <w:marLeft w:val="0"/>
      <w:marRight w:val="0"/>
      <w:marTop w:val="0"/>
      <w:marBottom w:val="0"/>
      <w:divBdr>
        <w:top w:val="none" w:sz="0" w:space="0" w:color="auto"/>
        <w:left w:val="none" w:sz="0" w:space="0" w:color="auto"/>
        <w:bottom w:val="none" w:sz="0" w:space="0" w:color="auto"/>
        <w:right w:val="none" w:sz="0" w:space="0" w:color="auto"/>
      </w:divBdr>
    </w:div>
    <w:div w:id="20820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631E6-473F-4311-A736-DCE77DF883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FEC37A-4568-4E9E-ABF7-9D4FA61948BB}">
  <ds:schemaRefs>
    <ds:schemaRef ds:uri="http://schemas.microsoft.com/sharepoint/v3/contenttype/forms"/>
  </ds:schemaRefs>
</ds:datastoreItem>
</file>

<file path=customXml/itemProps3.xml><?xml version="1.0" encoding="utf-8"?>
<ds:datastoreItem xmlns:ds="http://schemas.openxmlformats.org/officeDocument/2006/customXml" ds:itemID="{D5114A5C-8AB9-43E7-978E-BF3AA77D5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6292</Words>
  <Characters>3587</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ВИСНОВОК</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Документ_103383.docx</dc:title>
  <dc:subject/>
  <dc:creator/>
  <cp:keywords/>
  <cp:lastModifiedBy>Кузьменко Ксенія Володимирівна</cp:lastModifiedBy>
  <cp:revision>5</cp:revision>
  <dcterms:created xsi:type="dcterms:W3CDTF">2020-06-10T07:12:00Z</dcterms:created>
  <dcterms:modified xsi:type="dcterms:W3CDTF">2020-06-22T08:36:00Z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