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C74" w:rsidRDefault="009E5C74"/>
    <w:p w:rsidR="004E3951" w:rsidRDefault="004E3951"/>
    <w:p w:rsidR="004E3951" w:rsidRDefault="004E3951"/>
    <w:p w:rsidR="004E3951" w:rsidRDefault="004E3951"/>
    <w:p w:rsidR="004E3951" w:rsidRPr="001D0AA8" w:rsidRDefault="004E3951" w:rsidP="008E62B8">
      <w:pPr>
        <w:ind w:firstLine="0"/>
        <w:jc w:val="center"/>
        <w:rPr>
          <w:b/>
        </w:rPr>
      </w:pPr>
      <w:r w:rsidRPr="001D0AA8">
        <w:rPr>
          <w:b/>
        </w:rPr>
        <w:t>ВИСНОВОК</w:t>
      </w:r>
    </w:p>
    <w:p w:rsidR="006B369E" w:rsidRPr="001D0AA8" w:rsidRDefault="006B369E" w:rsidP="008E62B8">
      <w:pPr>
        <w:ind w:firstLine="0"/>
        <w:jc w:val="center"/>
        <w:rPr>
          <w:b/>
          <w:szCs w:val="28"/>
        </w:rPr>
      </w:pPr>
      <w:r w:rsidRPr="001D0AA8">
        <w:rPr>
          <w:b/>
        </w:rPr>
        <w:t>н</w:t>
      </w:r>
      <w:r w:rsidR="004E3951" w:rsidRPr="001D0AA8">
        <w:rPr>
          <w:b/>
        </w:rPr>
        <w:t>а проект Закону України «</w:t>
      </w:r>
      <w:r w:rsidR="004E3951" w:rsidRPr="001D0AA8">
        <w:rPr>
          <w:b/>
          <w:szCs w:val="28"/>
        </w:rPr>
        <w:t>Про внесення змін до статті 18</w:t>
      </w:r>
      <w:r w:rsidR="004E3951" w:rsidRPr="001D0AA8">
        <w:rPr>
          <w:b/>
          <w:szCs w:val="28"/>
          <w:vertAlign w:val="superscript"/>
        </w:rPr>
        <w:t>7</w:t>
      </w:r>
      <w:r w:rsidR="004E3951" w:rsidRPr="001D0AA8">
        <w:rPr>
          <w:b/>
          <w:szCs w:val="28"/>
        </w:rPr>
        <w:t xml:space="preserve"> </w:t>
      </w:r>
    </w:p>
    <w:p w:rsidR="006B369E" w:rsidRPr="001D0AA8" w:rsidRDefault="004E3951" w:rsidP="008E62B8">
      <w:pPr>
        <w:ind w:firstLine="0"/>
        <w:jc w:val="center"/>
        <w:rPr>
          <w:b/>
          <w:bCs/>
          <w:color w:val="000000"/>
          <w:szCs w:val="28"/>
        </w:rPr>
      </w:pPr>
      <w:r w:rsidRPr="001D0AA8">
        <w:rPr>
          <w:b/>
          <w:bCs/>
          <w:color w:val="000000"/>
          <w:szCs w:val="28"/>
        </w:rPr>
        <w:t xml:space="preserve">Закону України «Про державну допомогу сім’ям з дітьми» </w:t>
      </w:r>
    </w:p>
    <w:p w:rsidR="001D0AA8" w:rsidRDefault="004E3951" w:rsidP="008E62B8">
      <w:pPr>
        <w:ind w:firstLine="0"/>
        <w:jc w:val="center"/>
        <w:rPr>
          <w:b/>
          <w:szCs w:val="28"/>
        </w:rPr>
      </w:pPr>
      <w:r w:rsidRPr="001D0AA8">
        <w:rPr>
          <w:b/>
          <w:szCs w:val="28"/>
        </w:rPr>
        <w:t>щодо підвищення розмірів допомоги для дітей</w:t>
      </w:r>
    </w:p>
    <w:p w:rsidR="004E3951" w:rsidRPr="001D0AA8" w:rsidRDefault="004E3951" w:rsidP="008E62B8">
      <w:pPr>
        <w:ind w:firstLine="0"/>
        <w:jc w:val="center"/>
        <w:rPr>
          <w:b/>
          <w:szCs w:val="28"/>
        </w:rPr>
      </w:pPr>
      <w:r w:rsidRPr="001D0AA8">
        <w:rPr>
          <w:b/>
          <w:szCs w:val="28"/>
        </w:rPr>
        <w:t xml:space="preserve"> із тяжкими хворобами»</w:t>
      </w:r>
    </w:p>
    <w:p w:rsidR="004E3951" w:rsidRDefault="004E3951" w:rsidP="004E3951">
      <w:pPr>
        <w:jc w:val="center"/>
      </w:pPr>
    </w:p>
    <w:p w:rsidR="004E3951" w:rsidRPr="000528F7" w:rsidRDefault="004E3951" w:rsidP="004E3951">
      <w:pPr>
        <w:rPr>
          <w:rFonts w:eastAsia="Times New Roman"/>
        </w:rPr>
      </w:pPr>
      <w:r w:rsidRPr="000528F7">
        <w:rPr>
          <w:rFonts w:eastAsia="Times New Roman"/>
        </w:rPr>
        <w:t>У законопроекті пропонується підвищити розміри щомісячної державної допомоги</w:t>
      </w:r>
      <w:r w:rsidR="008E62B8">
        <w:rPr>
          <w:rFonts w:eastAsia="Times New Roman"/>
        </w:rPr>
        <w:t>:</w:t>
      </w:r>
      <w:r w:rsidRPr="000528F7">
        <w:rPr>
          <w:rFonts w:eastAsia="Times New Roman"/>
        </w:rPr>
        <w:t xml:space="preserve"> на дітей, хворих на тяжкі </w:t>
      </w:r>
      <w:proofErr w:type="spellStart"/>
      <w:r w:rsidRPr="000528F7">
        <w:rPr>
          <w:rFonts w:eastAsia="Times New Roman"/>
        </w:rPr>
        <w:t>перинатальні</w:t>
      </w:r>
      <w:proofErr w:type="spellEnd"/>
      <w:r w:rsidRPr="000528F7">
        <w:rPr>
          <w:rFonts w:eastAsia="Times New Roman"/>
        </w:rPr>
        <w:t xml:space="preserve"> ураження нервової системи, тяжкі вроджені вади розвитку, рідкісні </w:t>
      </w:r>
      <w:proofErr w:type="spellStart"/>
      <w:r w:rsidRPr="000528F7">
        <w:rPr>
          <w:rFonts w:eastAsia="Times New Roman"/>
        </w:rPr>
        <w:t>орфанні</w:t>
      </w:r>
      <w:proofErr w:type="spellEnd"/>
      <w:r w:rsidRPr="000528F7">
        <w:rPr>
          <w:rFonts w:eastAsia="Times New Roman"/>
        </w:rPr>
        <w:t xml:space="preserve"> захворювання, онкологічні, </w:t>
      </w:r>
      <w:proofErr w:type="spellStart"/>
      <w:r w:rsidRPr="000528F7">
        <w:rPr>
          <w:rFonts w:eastAsia="Times New Roman"/>
        </w:rPr>
        <w:t>онкогематологічні</w:t>
      </w:r>
      <w:proofErr w:type="spellEnd"/>
      <w:r w:rsidRPr="000528F7">
        <w:rPr>
          <w:rFonts w:eastAsia="Times New Roman"/>
        </w:rPr>
        <w:t xml:space="preserve"> захворювання, дитячий церебральний параліч, тяжкі психічні розлади, цукровий діабет I типу (інсулінозалежний), гострі або хронічні захворювання нирок IV ступеня</w:t>
      </w:r>
      <w:r w:rsidR="008E62B8">
        <w:rPr>
          <w:rFonts w:eastAsia="Times New Roman"/>
        </w:rPr>
        <w:t>;</w:t>
      </w:r>
      <w:r w:rsidRPr="000528F7">
        <w:rPr>
          <w:rFonts w:eastAsia="Times New Roman"/>
        </w:rPr>
        <w:t xml:space="preserve"> на дитину, яка отримала тяжку травму, потребує трансплантації орган</w:t>
      </w:r>
      <w:r w:rsidR="002F0C35">
        <w:rPr>
          <w:rFonts w:eastAsia="Times New Roman"/>
        </w:rPr>
        <w:t>у</w:t>
      </w:r>
      <w:r w:rsidRPr="000528F7">
        <w:rPr>
          <w:rFonts w:eastAsia="Times New Roman"/>
        </w:rPr>
        <w:t xml:space="preserve">, потребує паліативної допомоги, яким не встановлено інвалідність, </w:t>
      </w:r>
      <w:r w:rsidR="004607F3">
        <w:rPr>
          <w:rFonts w:eastAsia="Times New Roman"/>
        </w:rPr>
        <w:t>з</w:t>
      </w:r>
      <w:r w:rsidRPr="000528F7">
        <w:rPr>
          <w:rFonts w:eastAsia="Times New Roman"/>
        </w:rPr>
        <w:t xml:space="preserve"> </w:t>
      </w:r>
      <w:r w:rsidR="008E62B8">
        <w:rPr>
          <w:rFonts w:eastAsia="Times New Roman"/>
        </w:rPr>
        <w:t xml:space="preserve">одного </w:t>
      </w:r>
      <w:r w:rsidRPr="000528F7">
        <w:rPr>
          <w:rFonts w:eastAsia="Times New Roman"/>
        </w:rPr>
        <w:t>прожиткового мінімуму для осіб, які втратили працездатність</w:t>
      </w:r>
      <w:r w:rsidR="004607F3">
        <w:rPr>
          <w:rFonts w:eastAsia="Times New Roman"/>
        </w:rPr>
        <w:t>,</w:t>
      </w:r>
      <w:r w:rsidRPr="000528F7">
        <w:rPr>
          <w:rFonts w:eastAsia="Times New Roman"/>
        </w:rPr>
        <w:t xml:space="preserve"> до двох прожиткових мінімумів встановлених для дітей відповідного віку.</w:t>
      </w:r>
    </w:p>
    <w:p w:rsidR="004E3951" w:rsidRPr="000528F7" w:rsidRDefault="004E3951" w:rsidP="004E3951">
      <w:pPr>
        <w:rPr>
          <w:rFonts w:eastAsia="Times New Roman"/>
        </w:rPr>
      </w:pPr>
      <w:r w:rsidRPr="000528F7">
        <w:rPr>
          <w:rFonts w:eastAsia="Times New Roman"/>
        </w:rPr>
        <w:t xml:space="preserve">Головне науково-експертне управління </w:t>
      </w:r>
      <w:r w:rsidR="008E62B8">
        <w:rPr>
          <w:rFonts w:eastAsia="Times New Roman"/>
        </w:rPr>
        <w:t xml:space="preserve">підтримує </w:t>
      </w:r>
      <w:r w:rsidRPr="000528F7">
        <w:rPr>
          <w:rFonts w:eastAsia="Times New Roman"/>
        </w:rPr>
        <w:t xml:space="preserve">посилення державної підтримки сімей, що мають дітей із </w:t>
      </w:r>
      <w:r w:rsidR="008E62B8">
        <w:rPr>
          <w:rFonts w:eastAsia="Times New Roman"/>
        </w:rPr>
        <w:t xml:space="preserve">вказаними </w:t>
      </w:r>
      <w:r w:rsidRPr="000528F7">
        <w:rPr>
          <w:rFonts w:eastAsia="Times New Roman"/>
        </w:rPr>
        <w:t>важкими хворобами.</w:t>
      </w:r>
    </w:p>
    <w:p w:rsidR="008E62B8" w:rsidRPr="008E62B8" w:rsidRDefault="008E62B8" w:rsidP="008E62B8">
      <w:pPr>
        <w:rPr>
          <w:rFonts w:eastAsia="Times New Roman"/>
        </w:rPr>
      </w:pPr>
      <w:r>
        <w:rPr>
          <w:rFonts w:eastAsia="Times New Roman"/>
        </w:rPr>
        <w:t>Водночас звертаємо увагу, що р</w:t>
      </w:r>
      <w:r w:rsidRPr="008E62B8">
        <w:rPr>
          <w:rFonts w:eastAsia="Times New Roman"/>
        </w:rPr>
        <w:t xml:space="preserve">еалізація поданої законодавчої ініціативи потребуватиме додаткових бюджетних витрат, що </w:t>
      </w:r>
      <w:r w:rsidR="00C45F27">
        <w:rPr>
          <w:rFonts w:eastAsia="Times New Roman"/>
        </w:rPr>
        <w:t>визнається і</w:t>
      </w:r>
      <w:r w:rsidRPr="008E62B8">
        <w:rPr>
          <w:rFonts w:eastAsia="Times New Roman"/>
        </w:rPr>
        <w:t xml:space="preserve"> у </w:t>
      </w:r>
      <w:r w:rsidR="004607F3">
        <w:rPr>
          <w:rFonts w:eastAsia="Times New Roman"/>
        </w:rPr>
        <w:br/>
      </w:r>
      <w:r w:rsidRPr="008E62B8">
        <w:rPr>
          <w:rFonts w:eastAsia="Times New Roman"/>
        </w:rPr>
        <w:t>п. 5 пояснювальної записки до проекту</w:t>
      </w:r>
      <w:r>
        <w:rPr>
          <w:rFonts w:eastAsia="Times New Roman"/>
        </w:rPr>
        <w:t xml:space="preserve">. </w:t>
      </w:r>
      <w:r w:rsidRPr="008E62B8">
        <w:rPr>
          <w:rFonts w:eastAsia="Times New Roman"/>
        </w:rPr>
        <w:t xml:space="preserve">Тому варто звернути увагу на необхідність дотримання вимог  ст. 91 Регламенту Верховної Ради України та ст. 27 Бюджетного кодексу України щодо необхідності подання суб’єктами права законодавчої ініціативи фінансово-економічного обґрунтування (включаючи відповідні розрахунки) </w:t>
      </w:r>
      <w:r>
        <w:rPr>
          <w:rFonts w:eastAsia="Times New Roman"/>
        </w:rPr>
        <w:t xml:space="preserve">з урахуванням того,  </w:t>
      </w:r>
      <w:r w:rsidR="00C45F27">
        <w:rPr>
          <w:rFonts w:eastAsia="Times New Roman"/>
        </w:rPr>
        <w:t>що</w:t>
      </w:r>
      <w:r w:rsidRPr="008E62B8">
        <w:rPr>
          <w:rFonts w:eastAsia="Times New Roman"/>
        </w:rPr>
        <w:t xml:space="preserve"> </w:t>
      </w:r>
      <w:r w:rsidR="00C45F27">
        <w:rPr>
          <w:rFonts w:eastAsia="Times New Roman"/>
        </w:rPr>
        <w:t xml:space="preserve">у разі, якщо прийняття </w:t>
      </w:r>
      <w:r w:rsidRPr="008E62B8">
        <w:rPr>
          <w:rFonts w:eastAsia="Times New Roman"/>
        </w:rPr>
        <w:t>законопроект</w:t>
      </w:r>
      <w:r w:rsidR="00C45F27">
        <w:rPr>
          <w:rFonts w:eastAsia="Times New Roman"/>
        </w:rPr>
        <w:t>у призведе до зміни показників бюджету (надходжень бюджету та/або витрат бюджету) до нього подаються п</w:t>
      </w:r>
      <w:r w:rsidRPr="008E62B8">
        <w:rPr>
          <w:rFonts w:eastAsia="Times New Roman"/>
        </w:rPr>
        <w:t>ропозиції змін до законодавчих актів України щодо скорочення витрат бюджету та/або джерел додаткових надходжень бюджету для досягнення збалансованості бюджету.</w:t>
      </w:r>
      <w:r w:rsidR="004607F3">
        <w:rPr>
          <w:rFonts w:eastAsia="Times New Roman"/>
        </w:rPr>
        <w:t xml:space="preserve"> </w:t>
      </w:r>
    </w:p>
    <w:p w:rsidR="008E62B8" w:rsidRDefault="008E62B8" w:rsidP="008E62B8">
      <w:pPr>
        <w:rPr>
          <w:rFonts w:eastAsia="Times New Roman"/>
        </w:rPr>
      </w:pPr>
      <w:r w:rsidRPr="008E62B8">
        <w:rPr>
          <w:rFonts w:eastAsia="Times New Roman"/>
        </w:rPr>
        <w:t>Вважаємо також, що зміст абз. 2 п. 2 розділу ІІ «Прикінцеві положення» (доручення Кабінету Міністрів України «невідкладно затвердити план заходів щодо недопущення укриття податків і зборів у тіньовому секторі економіки та офшорних зонах») не має  безпосереднього відношення до предмету проекту.</w:t>
      </w:r>
    </w:p>
    <w:p w:rsidR="006B369E" w:rsidRDefault="006B369E" w:rsidP="006B369E">
      <w:pPr>
        <w:rPr>
          <w:rFonts w:eastAsia="Times New Roman"/>
        </w:rPr>
      </w:pPr>
      <w:r w:rsidRPr="00C123FA">
        <w:rPr>
          <w:rFonts w:eastAsia="Times New Roman"/>
        </w:rPr>
        <w:t>Крім цього, виходячи з</w:t>
      </w:r>
      <w:r w:rsidR="004607F3">
        <w:rPr>
          <w:rFonts w:eastAsia="Times New Roman"/>
        </w:rPr>
        <w:t>і</w:t>
      </w:r>
      <w:r w:rsidRPr="00C123FA">
        <w:rPr>
          <w:rFonts w:eastAsia="Times New Roman"/>
        </w:rPr>
        <w:t xml:space="preserve"> ст</w:t>
      </w:r>
      <w:r w:rsidR="001D0AA8">
        <w:rPr>
          <w:rFonts w:eastAsia="Times New Roman"/>
        </w:rPr>
        <w:t>.</w:t>
      </w:r>
      <w:r w:rsidRPr="00C123FA">
        <w:rPr>
          <w:rFonts w:eastAsia="Times New Roman"/>
        </w:rPr>
        <w:t xml:space="preserve"> 116 Конституції України, згідно з якою Кабінет Міністрів України забезпечує,  зокрема, проведення політики у сфері соціального захисту, Головне управління вважає, що щодо внесеного законопроекту доцільно отримати відповідний експертний висновок Уряду.</w:t>
      </w:r>
    </w:p>
    <w:p w:rsidR="006B369E" w:rsidRDefault="006B369E" w:rsidP="006B369E">
      <w:pPr>
        <w:rPr>
          <w:rFonts w:eastAsia="Times New Roman"/>
        </w:rPr>
      </w:pPr>
    </w:p>
    <w:p w:rsidR="001D0AA8" w:rsidRPr="002F0C35" w:rsidRDefault="001D0AA8" w:rsidP="002F0C35">
      <w:pPr>
        <w:pStyle w:val="a7"/>
        <w:spacing w:before="0"/>
        <w:ind w:firstLine="709"/>
        <w:rPr>
          <w:rFonts w:ascii="Times New Roman" w:hAnsi="Times New Roman"/>
          <w:sz w:val="28"/>
          <w:szCs w:val="28"/>
        </w:rPr>
      </w:pPr>
      <w:r w:rsidRPr="002F0C35">
        <w:rPr>
          <w:rFonts w:ascii="Times New Roman" w:hAnsi="Times New Roman"/>
          <w:sz w:val="28"/>
          <w:szCs w:val="28"/>
        </w:rPr>
        <w:t>Керівник Головного управління</w:t>
      </w:r>
      <w:r w:rsidRPr="002F0C35">
        <w:rPr>
          <w:rFonts w:ascii="Times New Roman" w:hAnsi="Times New Roman"/>
          <w:sz w:val="28"/>
          <w:szCs w:val="28"/>
        </w:rPr>
        <w:tab/>
      </w:r>
      <w:r w:rsidRPr="002F0C35">
        <w:rPr>
          <w:rFonts w:ascii="Times New Roman" w:hAnsi="Times New Roman"/>
          <w:sz w:val="28"/>
          <w:szCs w:val="28"/>
        </w:rPr>
        <w:tab/>
      </w:r>
      <w:r w:rsidRPr="002F0C35">
        <w:rPr>
          <w:rFonts w:ascii="Times New Roman" w:hAnsi="Times New Roman"/>
          <w:sz w:val="28"/>
          <w:szCs w:val="28"/>
        </w:rPr>
        <w:tab/>
      </w:r>
      <w:r w:rsidRPr="002F0C35">
        <w:rPr>
          <w:rFonts w:ascii="Times New Roman" w:hAnsi="Times New Roman"/>
          <w:sz w:val="28"/>
          <w:szCs w:val="28"/>
        </w:rPr>
        <w:tab/>
        <w:t xml:space="preserve">      С. Тихонюк</w:t>
      </w:r>
    </w:p>
    <w:p w:rsidR="006B369E" w:rsidRDefault="006B369E" w:rsidP="006B369E">
      <w:pPr>
        <w:tabs>
          <w:tab w:val="left" w:pos="6946"/>
        </w:tabs>
        <w:ind w:right="-113"/>
      </w:pPr>
    </w:p>
    <w:p w:rsidR="004E3951" w:rsidRPr="004E3951" w:rsidRDefault="006B369E" w:rsidP="003B0B9F">
      <w:pPr>
        <w:tabs>
          <w:tab w:val="left" w:pos="6946"/>
        </w:tabs>
        <w:ind w:right="-113"/>
      </w:pPr>
      <w:proofErr w:type="spellStart"/>
      <w:r w:rsidRPr="00BB4E05">
        <w:rPr>
          <w:sz w:val="20"/>
          <w:szCs w:val="20"/>
        </w:rPr>
        <w:t>Вик</w:t>
      </w:r>
      <w:proofErr w:type="spellEnd"/>
      <w:r w:rsidRPr="00BB4E05">
        <w:rPr>
          <w:sz w:val="20"/>
          <w:szCs w:val="20"/>
        </w:rPr>
        <w:t>.: Т.</w:t>
      </w:r>
      <w:r w:rsidR="000528F7" w:rsidRPr="00BB4E05">
        <w:rPr>
          <w:sz w:val="20"/>
          <w:szCs w:val="20"/>
        </w:rPr>
        <w:t xml:space="preserve"> </w:t>
      </w:r>
      <w:r w:rsidRPr="00BB4E05">
        <w:rPr>
          <w:sz w:val="20"/>
          <w:szCs w:val="20"/>
        </w:rPr>
        <w:t>Макійчук</w:t>
      </w:r>
      <w:bookmarkStart w:id="0" w:name="_GoBack"/>
      <w:bookmarkEnd w:id="0"/>
    </w:p>
    <w:sectPr w:rsidR="004E3951" w:rsidRPr="004E3951" w:rsidSect="008E62B8">
      <w:headerReference w:type="default" r:id="rId6"/>
      <w:headerReference w:type="first" r:id="rId7"/>
      <w:pgSz w:w="11906" w:h="16838"/>
      <w:pgMar w:top="1134" w:right="851" w:bottom="1134" w:left="1701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F02" w:rsidRDefault="00485F02" w:rsidP="004E3951">
      <w:r>
        <w:separator/>
      </w:r>
    </w:p>
  </w:endnote>
  <w:endnote w:type="continuationSeparator" w:id="0">
    <w:p w:rsidR="00485F02" w:rsidRDefault="00485F02" w:rsidP="004E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F02" w:rsidRDefault="00485F02" w:rsidP="004E3951">
      <w:r>
        <w:separator/>
      </w:r>
    </w:p>
  </w:footnote>
  <w:footnote w:type="continuationSeparator" w:id="0">
    <w:p w:rsidR="00485F02" w:rsidRDefault="00485F02" w:rsidP="004E3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673056"/>
      <w:docPartObj>
        <w:docPartGallery w:val="Page Numbers (Top of Page)"/>
        <w:docPartUnique/>
      </w:docPartObj>
    </w:sdtPr>
    <w:sdtEndPr/>
    <w:sdtContent>
      <w:p w:rsidR="00BB4E05" w:rsidRDefault="00BB4E0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B9F">
          <w:rPr>
            <w:noProof/>
          </w:rPr>
          <w:t>2</w:t>
        </w:r>
        <w:r>
          <w:fldChar w:fldCharType="end"/>
        </w:r>
      </w:p>
    </w:sdtContent>
  </w:sdt>
  <w:p w:rsidR="004E3951" w:rsidRDefault="004E39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951" w:rsidRPr="00BB4E05" w:rsidRDefault="004E3951" w:rsidP="004E3951">
    <w:pPr>
      <w:pStyle w:val="a3"/>
      <w:jc w:val="right"/>
      <w:rPr>
        <w:sz w:val="20"/>
        <w:szCs w:val="20"/>
      </w:rPr>
    </w:pPr>
    <w:r w:rsidRPr="00BB4E05">
      <w:rPr>
        <w:sz w:val="20"/>
        <w:szCs w:val="20"/>
      </w:rPr>
      <w:t>До</w:t>
    </w:r>
    <w:r w:rsidR="00BB4E05" w:rsidRPr="00BB4E05">
      <w:rPr>
        <w:sz w:val="20"/>
        <w:szCs w:val="20"/>
      </w:rPr>
      <w:t xml:space="preserve"> реєстр.</w:t>
    </w:r>
    <w:r w:rsidRPr="00BB4E05">
      <w:rPr>
        <w:sz w:val="20"/>
        <w:szCs w:val="20"/>
      </w:rPr>
      <w:t xml:space="preserve"> № 2024 від 03.09.2019</w:t>
    </w:r>
  </w:p>
  <w:p w:rsidR="00BB4E05" w:rsidRPr="00BB4E05" w:rsidRDefault="00BB4E05" w:rsidP="004E3951">
    <w:pPr>
      <w:pStyle w:val="a3"/>
      <w:jc w:val="right"/>
      <w:rPr>
        <w:sz w:val="20"/>
        <w:szCs w:val="20"/>
      </w:rPr>
    </w:pPr>
    <w:r w:rsidRPr="00BB4E05">
      <w:rPr>
        <w:sz w:val="20"/>
        <w:szCs w:val="20"/>
      </w:rPr>
      <w:t>Народні депутати України</w:t>
    </w:r>
  </w:p>
  <w:p w:rsidR="004E3951" w:rsidRPr="00BB4E05" w:rsidRDefault="001D0AA8" w:rsidP="004E3951">
    <w:pPr>
      <w:pStyle w:val="a3"/>
      <w:jc w:val="right"/>
      <w:rPr>
        <w:sz w:val="20"/>
        <w:szCs w:val="20"/>
      </w:rPr>
    </w:pPr>
    <w:r>
      <w:rPr>
        <w:sz w:val="20"/>
        <w:szCs w:val="20"/>
      </w:rPr>
      <w:t>Ю.</w:t>
    </w:r>
    <w:r w:rsidR="000528F7" w:rsidRPr="00BB4E05">
      <w:rPr>
        <w:sz w:val="20"/>
        <w:szCs w:val="20"/>
      </w:rPr>
      <w:t xml:space="preserve"> </w:t>
    </w:r>
    <w:r w:rsidR="004E3951" w:rsidRPr="00BB4E05">
      <w:rPr>
        <w:sz w:val="20"/>
        <w:szCs w:val="20"/>
      </w:rPr>
      <w:t>Тимошенко та інші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51"/>
    <w:rsid w:val="000528F7"/>
    <w:rsid w:val="001D0AA8"/>
    <w:rsid w:val="002A17D2"/>
    <w:rsid w:val="002A1F04"/>
    <w:rsid w:val="002F0C35"/>
    <w:rsid w:val="003B0B9F"/>
    <w:rsid w:val="004607F3"/>
    <w:rsid w:val="00485F02"/>
    <w:rsid w:val="004C3DDF"/>
    <w:rsid w:val="004E3951"/>
    <w:rsid w:val="006B369E"/>
    <w:rsid w:val="00742FA1"/>
    <w:rsid w:val="008E62B8"/>
    <w:rsid w:val="009D6C18"/>
    <w:rsid w:val="009E5C74"/>
    <w:rsid w:val="009F14C0"/>
    <w:rsid w:val="00A045F6"/>
    <w:rsid w:val="00B1513F"/>
    <w:rsid w:val="00BB4E05"/>
    <w:rsid w:val="00C45F27"/>
    <w:rsid w:val="00D0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B4B379-1ED5-4CE0-8B0F-17C00F07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95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4E3951"/>
  </w:style>
  <w:style w:type="paragraph" w:styleId="a5">
    <w:name w:val="footer"/>
    <w:basedOn w:val="a"/>
    <w:link w:val="a6"/>
    <w:uiPriority w:val="99"/>
    <w:unhideWhenUsed/>
    <w:rsid w:val="004E395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4E3951"/>
  </w:style>
  <w:style w:type="paragraph" w:customStyle="1" w:styleId="a7">
    <w:name w:val="Нормальний текст"/>
    <w:basedOn w:val="a"/>
    <w:link w:val="a8"/>
    <w:rsid w:val="001D0AA8"/>
    <w:pPr>
      <w:spacing w:before="120"/>
      <w:ind w:firstLine="567"/>
    </w:pPr>
    <w:rPr>
      <w:rFonts w:ascii="Antiqua" w:eastAsia="Calibri" w:hAnsi="Antiqua" w:cs="Times New Roman"/>
      <w:sz w:val="26"/>
      <w:szCs w:val="20"/>
      <w:lang w:eastAsia="ru-RU"/>
    </w:rPr>
  </w:style>
  <w:style w:type="character" w:customStyle="1" w:styleId="a8">
    <w:name w:val="Нормальний текст Знак"/>
    <w:link w:val="a7"/>
    <w:locked/>
    <w:rsid w:val="001D0AA8"/>
    <w:rPr>
      <w:rFonts w:ascii="Antiqua" w:eastAsia="Calibri" w:hAnsi="Antiqua" w:cs="Times New Roman"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607F3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60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1540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Макійчук Тетяна Миколаївна</dc:creator>
  <cp:keywords/>
  <dc:description/>
  <cp:lastModifiedBy>Кисельова Юлія Анатоліївна</cp:lastModifiedBy>
  <cp:revision>2</cp:revision>
  <cp:lastPrinted>2020-02-28T12:36:00Z</cp:lastPrinted>
  <dcterms:created xsi:type="dcterms:W3CDTF">2020-02-28T13:50:00Z</dcterms:created>
  <dcterms:modified xsi:type="dcterms:W3CDTF">2020-02-28T13:50:00Z</dcterms:modified>
</cp:coreProperties>
</file>