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B4" w:rsidRDefault="000C39B4"/>
    <w:p w:rsidR="000C39B4" w:rsidRDefault="000C39B4"/>
    <w:p w:rsidR="000C39B4" w:rsidRDefault="000C39B4"/>
    <w:p w:rsidR="007A555C" w:rsidRDefault="007A555C"/>
    <w:p w:rsidR="007A555C" w:rsidRDefault="007A555C"/>
    <w:p w:rsidR="007A555C" w:rsidRDefault="007A555C"/>
    <w:p w:rsidR="000C39B4" w:rsidRDefault="000C39B4"/>
    <w:p w:rsidR="000C39B4" w:rsidRDefault="000C39B4"/>
    <w:p w:rsidR="000C39B4" w:rsidRDefault="000C39B4"/>
    <w:p w:rsidR="000C39B4" w:rsidRPr="009A034A" w:rsidRDefault="000C39B4" w:rsidP="000C39B4">
      <w:pPr>
        <w:jc w:val="center"/>
        <w:rPr>
          <w:b/>
        </w:rPr>
      </w:pPr>
      <w:r w:rsidRPr="009A034A">
        <w:rPr>
          <w:b/>
        </w:rPr>
        <w:t>ВИСНОВОК</w:t>
      </w:r>
    </w:p>
    <w:p w:rsidR="000C39B4" w:rsidRDefault="000C39B4" w:rsidP="000C39B4">
      <w:pPr>
        <w:jc w:val="center"/>
      </w:pPr>
      <w:r>
        <w:t xml:space="preserve">на проект </w:t>
      </w:r>
      <w:r w:rsidRPr="000C39B4">
        <w:t>Закону України «Про внесення змін до деяких законів України щодо вдосконалення порядку встановлення тарифів на теплову енергію та послуги з централізованого водопостачання»</w:t>
      </w:r>
    </w:p>
    <w:p w:rsidR="000C39B4" w:rsidRDefault="000C39B4" w:rsidP="000C39B4">
      <w:pPr>
        <w:jc w:val="center"/>
      </w:pPr>
    </w:p>
    <w:p w:rsidR="002C28BD" w:rsidRDefault="007A555C" w:rsidP="00256F5A">
      <w:pPr>
        <w:tabs>
          <w:tab w:val="left" w:pos="851"/>
        </w:tabs>
        <w:ind w:firstLine="851"/>
        <w:jc w:val="both"/>
      </w:pPr>
      <w:r>
        <w:t xml:space="preserve">Метою законопроекту, як зазначається у </w:t>
      </w:r>
      <w:r w:rsidR="002C28BD">
        <w:t>п</w:t>
      </w:r>
      <w:r>
        <w:t xml:space="preserve">ояснювальній записці до нього, є </w:t>
      </w:r>
      <w:r w:rsidRPr="000C39B4">
        <w:t>вдосконалення системи ціноутворення на ринку комунальних послуг, яка буде в змозі запобігти стрімкому підвищенню тарифів на відповідні комунальні послу</w:t>
      </w:r>
      <w:r>
        <w:t xml:space="preserve">ги. </w:t>
      </w:r>
      <w:r w:rsidRPr="00E44083">
        <w:t>Зокрема, у</w:t>
      </w:r>
      <w:r w:rsidR="000C39B4" w:rsidRPr="00E44083">
        <w:t xml:space="preserve"> законопроекті пропонується</w:t>
      </w:r>
      <w:r w:rsidRPr="00E44083">
        <w:t xml:space="preserve"> встановити, що</w:t>
      </w:r>
      <w:r w:rsidR="002C28BD">
        <w:t xml:space="preserve"> </w:t>
      </w:r>
      <w:r w:rsidRPr="00256F5A">
        <w:t>загальний обсяг втрат, який враховується при формуванні тарифів, не має перевищувати рівня: 15% втрат води у тарифах на послугу з централізованого водопостачання</w:t>
      </w:r>
      <w:r w:rsidRPr="00E44083">
        <w:t xml:space="preserve">; </w:t>
      </w:r>
      <w:r w:rsidRPr="00256F5A">
        <w:t>7% втрат тепла у тарифах на теплову е</w:t>
      </w:r>
      <w:r w:rsidR="00E44083" w:rsidRPr="00256F5A">
        <w:t>нергію</w:t>
      </w:r>
      <w:r w:rsidR="002C28BD">
        <w:t>.</w:t>
      </w:r>
    </w:p>
    <w:p w:rsidR="00256F5A" w:rsidRDefault="00E44083" w:rsidP="00256F5A">
      <w:pPr>
        <w:tabs>
          <w:tab w:val="left" w:pos="851"/>
        </w:tabs>
        <w:ind w:firstLine="851"/>
        <w:jc w:val="both"/>
      </w:pPr>
      <w:r>
        <w:t xml:space="preserve">Відповідні зміни пропонуються до законів України «Про </w:t>
      </w:r>
      <w:r w:rsidR="000C39B4" w:rsidRPr="00E44083">
        <w:t>державне регулювання у сфері комунальних послуг»</w:t>
      </w:r>
      <w:r>
        <w:t>,</w:t>
      </w:r>
      <w:r w:rsidR="000C39B4" w:rsidRPr="000C39B4">
        <w:t xml:space="preserve"> </w:t>
      </w:r>
      <w:r w:rsidR="000C39B4">
        <w:t>«</w:t>
      </w:r>
      <w:r w:rsidR="000C39B4" w:rsidRPr="000C39B4">
        <w:t>Про теплопостачання</w:t>
      </w:r>
      <w:r w:rsidR="000C39B4">
        <w:t>»</w:t>
      </w:r>
      <w:r>
        <w:t xml:space="preserve">, </w:t>
      </w:r>
      <w:r w:rsidR="000C39B4">
        <w:t>«</w:t>
      </w:r>
      <w:r w:rsidR="000C39B4" w:rsidRPr="000C39B4">
        <w:t>Про питну воду, питне водопостачання та водовідведення</w:t>
      </w:r>
      <w:r w:rsidR="000C39B4">
        <w:t>»</w:t>
      </w:r>
      <w:r>
        <w:t>.</w:t>
      </w:r>
    </w:p>
    <w:p w:rsidR="00170BC5" w:rsidRDefault="00256F5A" w:rsidP="00170BC5">
      <w:pPr>
        <w:tabs>
          <w:tab w:val="left" w:pos="851"/>
        </w:tabs>
        <w:ind w:firstLine="851"/>
        <w:jc w:val="both"/>
      </w:pPr>
      <w:r>
        <w:t>Головне управління</w:t>
      </w:r>
      <w:r w:rsidR="002C28BD">
        <w:t>,</w:t>
      </w:r>
      <w:r>
        <w:t xml:space="preserve"> поділяючи</w:t>
      </w:r>
      <w:r w:rsidR="00791636">
        <w:t xml:space="preserve"> стурбованість суб’єкта </w:t>
      </w:r>
      <w:r>
        <w:t>права законодавчої ініціативи щодо необхідності скорочення</w:t>
      </w:r>
      <w:r w:rsidR="00791636">
        <w:t xml:space="preserve"> надмірних втрат </w:t>
      </w:r>
      <w:r>
        <w:t xml:space="preserve">ресурсів </w:t>
      </w:r>
      <w:r w:rsidR="00791636">
        <w:t>при наданні населенню комунал</w:t>
      </w:r>
      <w:r>
        <w:t xml:space="preserve">ьних послуг, разом з тим вважає за доцільне </w:t>
      </w:r>
      <w:r w:rsidR="00C50476">
        <w:t>зазначити таке</w:t>
      </w:r>
      <w:r>
        <w:t>.</w:t>
      </w:r>
    </w:p>
    <w:p w:rsidR="00D848A2" w:rsidRDefault="009F5DDB" w:rsidP="00170BC5">
      <w:pPr>
        <w:tabs>
          <w:tab w:val="left" w:pos="851"/>
        </w:tabs>
        <w:ind w:firstLine="851"/>
        <w:jc w:val="both"/>
      </w:pPr>
      <w:r>
        <w:t xml:space="preserve">Зауважимо, що відповідно до </w:t>
      </w:r>
      <w:r w:rsidR="00791636">
        <w:t>ч.</w:t>
      </w:r>
      <w:r w:rsidR="00C50476">
        <w:t xml:space="preserve"> </w:t>
      </w:r>
      <w:r w:rsidR="00791636">
        <w:t xml:space="preserve">1 ст. 10 Закону України «Про державне регулювання у сфері комунальних послуг» </w:t>
      </w:r>
      <w:r>
        <w:t>т</w:t>
      </w:r>
      <w:r w:rsidR="00791636">
        <w:t>арифи на комунальні послуги формуються суб'єктами природних монополій та суб'єктами господарювання на суміжних ринках відповідно до порядків (методик), встановлених національною комісією, що здійснює державне регулювання у сферах енергетики та комунальних пос</w:t>
      </w:r>
      <w:r>
        <w:t>луг, відповідно до цього Закону</w:t>
      </w:r>
      <w:r w:rsidR="00791636">
        <w:t xml:space="preserve">. </w:t>
      </w:r>
    </w:p>
    <w:p w:rsidR="00791636" w:rsidRDefault="00791636" w:rsidP="00D848A2">
      <w:pPr>
        <w:tabs>
          <w:tab w:val="left" w:pos="851"/>
        </w:tabs>
        <w:ind w:firstLine="851"/>
        <w:jc w:val="both"/>
      </w:pPr>
      <w:r>
        <w:t xml:space="preserve">Зокрема, </w:t>
      </w:r>
      <w:r w:rsidR="00C50476">
        <w:t>п</w:t>
      </w:r>
      <w:r>
        <w:t>остановою Національної комісії, що здійснює державне регулювання у сферах енергетики та комунальних послуг</w:t>
      </w:r>
      <w:r w:rsidR="00C50476">
        <w:t>,</w:t>
      </w:r>
      <w:r>
        <w:t xml:space="preserve"> «Про затвердження Порядку урахування втрат теплової енергії в теплових мережах у тарифах на теплову енергію, її виробництво, транспортува</w:t>
      </w:r>
      <w:r w:rsidR="004D28F8">
        <w:t>ння, постачання» від 01.07.2016</w:t>
      </w:r>
      <w:r w:rsidR="00C50476">
        <w:t xml:space="preserve"> </w:t>
      </w:r>
      <w:r w:rsidR="004D28F8">
        <w:t>р. № 1214</w:t>
      </w:r>
      <w:r w:rsidR="00D848A2">
        <w:t>,</w:t>
      </w:r>
      <w:r>
        <w:t xml:space="preserve"> </w:t>
      </w:r>
      <w:r w:rsidR="00C50476">
        <w:t>н</w:t>
      </w:r>
      <w:r>
        <w:t>аказ</w:t>
      </w:r>
      <w:r w:rsidR="00C50476">
        <w:t>ами</w:t>
      </w:r>
      <w:r>
        <w:t xml:space="preserve"> Міністерства регіонального розвитку, будівництва та житлово-комунального господарства України «Про затвердження Методики розрахунку втрат питної води підприємствами, які надають послуги з централізованого</w:t>
      </w:r>
      <w:r w:rsidR="00D848A2">
        <w:t xml:space="preserve"> водопостачання» від 25.06.2014</w:t>
      </w:r>
      <w:r w:rsidR="00C50476">
        <w:t xml:space="preserve"> р.</w:t>
      </w:r>
      <w:r>
        <w:t xml:space="preserve"> № 180,</w:t>
      </w:r>
      <w:r w:rsidR="00D848A2">
        <w:t xml:space="preserve"> «Про затвердження Методики визначення технологічних нормативів витрат та втрат гарячої води у системах централізованого постачання гарячої води» від 10.04.2018</w:t>
      </w:r>
      <w:r w:rsidR="00C50476">
        <w:t xml:space="preserve"> р.</w:t>
      </w:r>
      <w:r w:rsidR="00D848A2">
        <w:t xml:space="preserve"> № 86 </w:t>
      </w:r>
      <w:r>
        <w:t>визначено механізми та умови, за яких здійснюється розрахунок втрат в процесі надання відповідної комунальної послуги.</w:t>
      </w:r>
    </w:p>
    <w:p w:rsidR="00170BC5" w:rsidRDefault="00170BC5" w:rsidP="00170BC5">
      <w:pPr>
        <w:ind w:firstLine="709"/>
        <w:jc w:val="both"/>
      </w:pPr>
      <w:r>
        <w:lastRenderedPageBreak/>
        <w:t>Для прикладу, у Розділі ІІ вищенаведеного Порядку урахування втрат теплової енергії в теплових мережах у тарифах на теплову енергію, її виробництво, транспортування, постачання визначається, що «урахування втрат теплової енергії в теплових мережах у тарифах на теплову енергію, її виробництво, транспортування, постачання здійснюється шляхом визначення в річному плані ліцензованої діяльності з виробництва, транспортування, постачання теплової енергії та подальшого використання в розрахунках тарифів на теплову енергію, її виробництво, транспортування та постачання на плановий період згідно з вимогами Порядку формування тарифів із визначенням та використанням в розрахунках тарифів відповідного показника «Втрати теплової енергії в теплових мережах» на рівні:</w:t>
      </w:r>
    </w:p>
    <w:p w:rsidR="00170BC5" w:rsidRDefault="00170BC5" w:rsidP="00170BC5">
      <w:pPr>
        <w:ind w:firstLine="709"/>
        <w:jc w:val="both"/>
      </w:pPr>
      <w:r>
        <w:t xml:space="preserve">розрахункових втрат теплової енергії в теплових мережах на плановий період </w:t>
      </w:r>
      <w:r w:rsidR="00C50476">
        <w:t>–</w:t>
      </w:r>
      <w:r>
        <w:t xml:space="preserve"> ліцензіатам, які не мають перевищення або мають перевищення до 0,5 відсоткового пункту включно фактичних втрат теплової енергії в теплових мережах за базовий період (у відсотках) від розрахункових втрат теплової енергії в теплових мережах на плановий період (у відсотках), та ліцензіатам, які мають таке перевищення понад 0,5 відсоткового пункту, але не схвалили в НКРЕКП Програму;</w:t>
      </w:r>
    </w:p>
    <w:p w:rsidR="00170BC5" w:rsidRDefault="00170BC5" w:rsidP="00170BC5">
      <w:pPr>
        <w:ind w:firstLine="709"/>
        <w:jc w:val="both"/>
      </w:pPr>
      <w:r>
        <w:t>фактичних втрат теплової енергії в теплових мережах за базовий період у відсотках, зменшених на 0,5 відсоткового пункту, - ліцензіатам, які мають перевищення від 0,5 до 10 відсоткових пунктів включно фактичних втрат теплової енергії в теплових мережах за базовий період (у відсотках) від розрахункових втрат теплової енергії в теплових мережах на плановий період (у відсотках) та яким НКРЕКП схвалила Програму до початку прогнозного періоду;</w:t>
      </w:r>
    </w:p>
    <w:p w:rsidR="00170BC5" w:rsidRDefault="00170BC5" w:rsidP="00170BC5">
      <w:pPr>
        <w:ind w:firstLine="709"/>
        <w:jc w:val="both"/>
      </w:pPr>
      <w:r>
        <w:t xml:space="preserve">розрахункових втрат теплової енергії в теплових мережах на плановий період у відсотках, збільшених на десять відсоткових пунктів, </w:t>
      </w:r>
      <w:r w:rsidR="00C50476">
        <w:t>–</w:t>
      </w:r>
      <w:r>
        <w:t xml:space="preserve"> ліцензіатам, які мають перевищення понад десять відсоткових пунктів фактичних втрат теплової енергії в теплових мережах за базовий період (у відсотках) від розрахункових втрат теплової енергії в теплових мережах на плановий період (у відсотках) та яким НКРЕКП схвалила Програму до початку прогнозного періоду».</w:t>
      </w:r>
    </w:p>
    <w:p w:rsidR="00170BC5" w:rsidRDefault="00170BC5" w:rsidP="00170BC5">
      <w:pPr>
        <w:ind w:firstLine="709"/>
        <w:jc w:val="both"/>
      </w:pPr>
      <w:r>
        <w:t>Крім того, у Розділі ІІ Методики розрахунку втрат питної води підприємствами, які надають послуги з централізованого водопостачання</w:t>
      </w:r>
      <w:r w:rsidR="00C50476">
        <w:t>,</w:t>
      </w:r>
      <w:r>
        <w:t xml:space="preserve"> втрати води підприємства включають:</w:t>
      </w:r>
    </w:p>
    <w:p w:rsidR="00170BC5" w:rsidRDefault="00170BC5" w:rsidP="00170BC5">
      <w:pPr>
        <w:ind w:firstLine="709"/>
        <w:jc w:val="both"/>
      </w:pPr>
      <w:r>
        <w:t xml:space="preserve">витоки питної води, у тому числі: витоки при підйомі та очищенні; витоки води з трубопроводів при аваріях; сховані витоки води з трубопроводів; витоки води з ємнісних споруд; витоки води через нещільності арматури; витоки води на водорозбірних колонках; </w:t>
      </w:r>
    </w:p>
    <w:p w:rsidR="00170BC5" w:rsidRDefault="00170BC5" w:rsidP="00170BC5">
      <w:pPr>
        <w:ind w:firstLine="709"/>
        <w:jc w:val="both"/>
      </w:pPr>
      <w:r>
        <w:t>необліковані втрати питної води, у тому числі: втрати води, які не зареєстровані засобами вимірювальної техніки; втрати, пов’язані з невідповідністю норм водоспоживання до фактичної кількості спожитої води; втрати, пов’язані з несанкціонованим відбором води з мережі; технологічні втрати води на протипожежні цілі.</w:t>
      </w:r>
    </w:p>
    <w:p w:rsidR="00170BC5" w:rsidRDefault="00170BC5" w:rsidP="00170BC5">
      <w:pPr>
        <w:ind w:firstLine="709"/>
        <w:jc w:val="both"/>
      </w:pPr>
      <w:r>
        <w:t xml:space="preserve">Для підприємств, сумарний індивідуальних технологічних нормативів втрат питної води (далі – ІТНВПВ) яких не перевищує 200 м-3 на 1000 м-3 піднятої води, застосовується спрощений спосіб розрахунку згідно з розділом ІІІ </w:t>
      </w:r>
      <w:r>
        <w:lastRenderedPageBreak/>
        <w:t>цієї Методики. У ч.</w:t>
      </w:r>
      <w:r w:rsidR="00C50476">
        <w:t xml:space="preserve"> </w:t>
      </w:r>
      <w:r>
        <w:t>3 Розділу ІІІ Методики визначена формула для спрощеного розрахунку ІТНВПВ, а у Розділі І</w:t>
      </w:r>
      <w:r>
        <w:rPr>
          <w:lang w:val="en-US"/>
        </w:rPr>
        <w:t>V</w:t>
      </w:r>
      <w:r w:rsidRPr="00170BC5">
        <w:rPr>
          <w:lang w:val="ru-RU"/>
        </w:rPr>
        <w:t xml:space="preserve"> </w:t>
      </w:r>
      <w:r>
        <w:t>для детального детальний розрахунку ІТНВПВ</w:t>
      </w:r>
      <w:r w:rsidR="00D17B6D">
        <w:t>.</w:t>
      </w:r>
    </w:p>
    <w:p w:rsidR="00D17B6D" w:rsidRDefault="00D17B6D" w:rsidP="00D17B6D">
      <w:pPr>
        <w:ind w:firstLine="709"/>
        <w:jc w:val="both"/>
      </w:pPr>
      <w:r>
        <w:t xml:space="preserve">У Розділі ІІ Методики визначення технологічних нормативів витрат та втрат гарячої води у системах централізованого постачання гарячої води відзначається, що індивідуальні технологічні нормативи використання води встановлюються для: витрат гарячої води; витрат холодної води; втрат гарячої води; втрат холодної води. У </w:t>
      </w:r>
      <w:r w:rsidR="00C50476">
        <w:t>п</w:t>
      </w:r>
      <w:r>
        <w:t xml:space="preserve">. 4 Розділу ІІ Методики встановлюється, що поточні індивідуальні технологічні нормативи втрат води не повинні перевищувати граничнодопустимих значень, які встановлюються органами місцевого самоврядування. У Розділі ІІІ цієї Методики зазначається, що витоки води при виробництві та підігріві води розраховуються окремо в кожному конкретному випадку з урахуванням технологічної схеми забору і підготовки води, переліку і стану наявних споруд, наявної запірної арматури тощо. З цією метою Розділ ІІІ містить ряд формул, а Розділ </w:t>
      </w:r>
      <w:r>
        <w:rPr>
          <w:lang w:val="en-US"/>
        </w:rPr>
        <w:t>IV</w:t>
      </w:r>
      <w:r w:rsidRPr="00D17B6D">
        <w:t xml:space="preserve"> </w:t>
      </w:r>
      <w:r>
        <w:t>присвячений визначенню індивідуальних технологічних нормативів втрат води, які складаються з: втрат води, які пов’язані з витіканням води при аваріях; втрат води при промиванні мереж після ліквідації аварії; схованих втрат води, які виникають через протікання води зі свищів та стиків трубопроводів; втрат води через арматуру, та також оперує окремими формулами та значеннями.</w:t>
      </w:r>
    </w:p>
    <w:p w:rsidR="009B7975" w:rsidRDefault="00457644" w:rsidP="009B7975">
      <w:pPr>
        <w:tabs>
          <w:tab w:val="left" w:pos="851"/>
        </w:tabs>
        <w:ind w:firstLine="851"/>
        <w:jc w:val="both"/>
      </w:pPr>
      <w:r>
        <w:t>Тому є всі підстави в</w:t>
      </w:r>
      <w:r w:rsidR="00641482">
        <w:t xml:space="preserve">важати, що наведене питання певною мірою </w:t>
      </w:r>
      <w:r>
        <w:t>врегульовано</w:t>
      </w:r>
      <w:r w:rsidR="000575A7">
        <w:t xml:space="preserve"> на підзаконному рівні</w:t>
      </w:r>
      <w:r>
        <w:t>.</w:t>
      </w:r>
      <w:r w:rsidR="00C50476">
        <w:t xml:space="preserve"> При цьому у супровідних до проекту документах жодного аналізу практики застосування відповідних методик в контексті впливу на тарифоутворення, що дозволило б оцінити доцільність врегулювання порушеного у проекті питання саме в запропонований спосіб, не наведено.</w:t>
      </w:r>
      <w:r w:rsidR="009B7975">
        <w:t xml:space="preserve"> Це ж стосується і необхідності надання належного обгрунтування пропонованого відсоткового вираження </w:t>
      </w:r>
      <w:r w:rsidR="009B7975" w:rsidRPr="00791636">
        <w:t>втрат, які враховуються при формув</w:t>
      </w:r>
      <w:r w:rsidR="009B7975">
        <w:t>анні тарифів на відповідні послуги.</w:t>
      </w:r>
    </w:p>
    <w:p w:rsidR="00C50476" w:rsidRDefault="00C50476" w:rsidP="00C50476">
      <w:pPr>
        <w:tabs>
          <w:tab w:val="left" w:pos="851"/>
        </w:tabs>
        <w:ind w:firstLine="851"/>
        <w:jc w:val="both"/>
      </w:pPr>
      <w:r>
        <w:t xml:space="preserve">Принагідно відзначимо, що запропонований у законопроекті перелік комунальних послуг, у тарифах яких необхідно враховувати втрати від надання таких послуг, є неповним, оскільки не враховує </w:t>
      </w:r>
      <w:r w:rsidRPr="00791636">
        <w:rPr>
          <w:i/>
        </w:rPr>
        <w:t>послугу з постачання гарячої води</w:t>
      </w:r>
      <w:r>
        <w:t>, при наданні якої також можливі втрати теплової енергії.</w:t>
      </w:r>
    </w:p>
    <w:p w:rsidR="00C87CA4" w:rsidRDefault="00C87CA4" w:rsidP="00C50476">
      <w:pPr>
        <w:tabs>
          <w:tab w:val="left" w:pos="851"/>
        </w:tabs>
        <w:ind w:firstLine="851"/>
        <w:jc w:val="both"/>
      </w:pPr>
      <w:r>
        <w:t xml:space="preserve">До проекту є також зауваження техніко-юридичного характеру. Зокрема, розділ ІІ проекту слід </w:t>
      </w:r>
      <w:r w:rsidR="00A50C33">
        <w:t xml:space="preserve">викласти як «Прикінцеві положення», де окремими пунктами </w:t>
      </w:r>
      <w:r>
        <w:t>визнач</w:t>
      </w:r>
      <w:r w:rsidR="00A50C33">
        <w:t xml:space="preserve">ити </w:t>
      </w:r>
      <w:r>
        <w:t>термін набрання чинності Законом, проект якого розглядається</w:t>
      </w:r>
      <w:r w:rsidR="00A50C33">
        <w:t>, та д</w:t>
      </w:r>
      <w:r>
        <w:t>оручен</w:t>
      </w:r>
      <w:r w:rsidR="00A50C33">
        <w:t>ня</w:t>
      </w:r>
      <w:r>
        <w:t>, які випливають з цього Закону.</w:t>
      </w:r>
    </w:p>
    <w:p w:rsidR="00181442" w:rsidRDefault="00181442" w:rsidP="00C50476">
      <w:pPr>
        <w:tabs>
          <w:tab w:val="left" w:pos="851"/>
        </w:tabs>
        <w:ind w:firstLine="851"/>
        <w:jc w:val="both"/>
      </w:pPr>
      <w:r>
        <w:t xml:space="preserve">Узагальнюючий висновок: </w:t>
      </w:r>
      <w:bookmarkStart w:id="0" w:name="_GoBack"/>
      <w:r>
        <w:t>за результатами розгляду у першому читанні законопроект доцільно повернути суб’єкту права законодавчої ініціативи на доопрацювання.</w:t>
      </w:r>
    </w:p>
    <w:bookmarkEnd w:id="0"/>
    <w:p w:rsidR="00874E2A" w:rsidRDefault="00874E2A">
      <w:pPr>
        <w:tabs>
          <w:tab w:val="left" w:pos="851"/>
        </w:tabs>
        <w:ind w:firstLine="709"/>
        <w:jc w:val="both"/>
      </w:pPr>
    </w:p>
    <w:p w:rsidR="00874E2A" w:rsidRDefault="00874E2A" w:rsidP="00874E2A">
      <w:pPr>
        <w:tabs>
          <w:tab w:val="left" w:pos="851"/>
        </w:tabs>
        <w:ind w:firstLine="709"/>
        <w:jc w:val="both"/>
      </w:pPr>
      <w:r>
        <w:t>Керівник Головного управління                                            С.А. Тихонюк</w:t>
      </w:r>
    </w:p>
    <w:p w:rsidR="00874E2A" w:rsidRDefault="00874E2A" w:rsidP="00874E2A">
      <w:pPr>
        <w:tabs>
          <w:tab w:val="left" w:pos="851"/>
        </w:tabs>
        <w:ind w:firstLine="709"/>
        <w:jc w:val="both"/>
      </w:pPr>
    </w:p>
    <w:p w:rsidR="00874E2A" w:rsidRPr="00874E2A" w:rsidRDefault="00874E2A" w:rsidP="00874E2A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874E2A">
        <w:rPr>
          <w:sz w:val="22"/>
          <w:szCs w:val="22"/>
        </w:rPr>
        <w:t>Вик.: А.М.Мних</w:t>
      </w:r>
    </w:p>
    <w:sectPr w:rsidR="00874E2A" w:rsidRPr="00874E2A" w:rsidSect="009A034A">
      <w:headerReference w:type="default" r:id="rId7"/>
      <w:headerReference w:type="first" r:id="rId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16" w:rsidRDefault="00531B16" w:rsidP="009A034A">
      <w:r>
        <w:separator/>
      </w:r>
    </w:p>
  </w:endnote>
  <w:endnote w:type="continuationSeparator" w:id="0">
    <w:p w:rsidR="00531B16" w:rsidRDefault="00531B16" w:rsidP="009A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16" w:rsidRDefault="00531B16" w:rsidP="009A034A">
      <w:r>
        <w:separator/>
      </w:r>
    </w:p>
  </w:footnote>
  <w:footnote w:type="continuationSeparator" w:id="0">
    <w:p w:rsidR="00531B16" w:rsidRDefault="00531B16" w:rsidP="009A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9220"/>
      <w:docPartObj>
        <w:docPartGallery w:val="Page Numbers (Top of Page)"/>
        <w:docPartUnique/>
      </w:docPartObj>
    </w:sdtPr>
    <w:sdtEndPr/>
    <w:sdtContent>
      <w:p w:rsidR="009A034A" w:rsidRDefault="009A034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EF">
          <w:rPr>
            <w:noProof/>
          </w:rPr>
          <w:t>3</w:t>
        </w:r>
        <w:r>
          <w:fldChar w:fldCharType="end"/>
        </w:r>
      </w:p>
    </w:sdtContent>
  </w:sdt>
  <w:p w:rsidR="009A034A" w:rsidRDefault="009A03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4A" w:rsidRPr="009A034A" w:rsidRDefault="009A034A" w:rsidP="009A034A">
    <w:pPr>
      <w:rPr>
        <w:sz w:val="20"/>
        <w:szCs w:val="20"/>
      </w:rPr>
    </w:pPr>
    <w:r w:rsidRPr="009A034A">
      <w:rPr>
        <w:sz w:val="20"/>
        <w:szCs w:val="20"/>
      </w:rPr>
      <w:t>До № 2099 від 09.09.2019 р.</w:t>
    </w:r>
  </w:p>
  <w:p w:rsidR="009A034A" w:rsidRDefault="009A034A" w:rsidP="009A034A">
    <w:r w:rsidRPr="009A034A">
      <w:rPr>
        <w:sz w:val="20"/>
        <w:szCs w:val="20"/>
      </w:rPr>
      <w:t>н.д. України Кучеренко О.Ю.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53B"/>
    <w:multiLevelType w:val="hybridMultilevel"/>
    <w:tmpl w:val="21563B64"/>
    <w:lvl w:ilvl="0" w:tplc="E63E8A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4"/>
    <w:rsid w:val="000575A7"/>
    <w:rsid w:val="000C39B4"/>
    <w:rsid w:val="00170BC5"/>
    <w:rsid w:val="00181442"/>
    <w:rsid w:val="00256F5A"/>
    <w:rsid w:val="002C28BD"/>
    <w:rsid w:val="0036102F"/>
    <w:rsid w:val="003F0AEE"/>
    <w:rsid w:val="00457644"/>
    <w:rsid w:val="00475F40"/>
    <w:rsid w:val="004D28F8"/>
    <w:rsid w:val="00531B16"/>
    <w:rsid w:val="00570B24"/>
    <w:rsid w:val="005D78DA"/>
    <w:rsid w:val="00641482"/>
    <w:rsid w:val="00646643"/>
    <w:rsid w:val="006D072E"/>
    <w:rsid w:val="007116E1"/>
    <w:rsid w:val="00791636"/>
    <w:rsid w:val="007A555C"/>
    <w:rsid w:val="00874E2A"/>
    <w:rsid w:val="009A034A"/>
    <w:rsid w:val="009B7975"/>
    <w:rsid w:val="009F5DDB"/>
    <w:rsid w:val="00A4060C"/>
    <w:rsid w:val="00A50C33"/>
    <w:rsid w:val="00AB0C66"/>
    <w:rsid w:val="00AF615C"/>
    <w:rsid w:val="00C50476"/>
    <w:rsid w:val="00C56FBB"/>
    <w:rsid w:val="00C87CA4"/>
    <w:rsid w:val="00D07CA0"/>
    <w:rsid w:val="00D17B6D"/>
    <w:rsid w:val="00D47603"/>
    <w:rsid w:val="00D848A2"/>
    <w:rsid w:val="00E10765"/>
    <w:rsid w:val="00E414B0"/>
    <w:rsid w:val="00E44083"/>
    <w:rsid w:val="00EB0E90"/>
    <w:rsid w:val="00FD54D5"/>
    <w:rsid w:val="00FD67EF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03A6-2DDF-4CE2-9873-B1356E2D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555C"/>
    <w:pPr>
      <w:widowControl w:val="0"/>
      <w:autoSpaceDE w:val="0"/>
      <w:autoSpaceDN w:val="0"/>
      <w:ind w:left="112" w:firstLine="852"/>
      <w:jc w:val="both"/>
    </w:pPr>
    <w:rPr>
      <w:rFonts w:eastAsia="Times New Roman"/>
      <w:sz w:val="22"/>
      <w:szCs w:val="22"/>
      <w:lang w:eastAsia="uk-UA"/>
    </w:rPr>
  </w:style>
  <w:style w:type="paragraph" w:customStyle="1" w:styleId="rvps2">
    <w:name w:val="rvps2"/>
    <w:basedOn w:val="a"/>
    <w:rsid w:val="007A555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9A034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A034A"/>
  </w:style>
  <w:style w:type="paragraph" w:styleId="a6">
    <w:name w:val="footer"/>
    <w:basedOn w:val="a"/>
    <w:link w:val="a7"/>
    <w:uiPriority w:val="99"/>
    <w:unhideWhenUsed/>
    <w:rsid w:val="009A034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A034A"/>
  </w:style>
  <w:style w:type="paragraph" w:styleId="a8">
    <w:name w:val="Balloon Text"/>
    <w:basedOn w:val="a"/>
    <w:link w:val="a9"/>
    <w:uiPriority w:val="99"/>
    <w:semiHidden/>
    <w:unhideWhenUsed/>
    <w:rsid w:val="00C87CA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5174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Мних Андрій Миколайович</dc:creator>
  <cp:keywords/>
  <dc:description/>
  <cp:lastModifiedBy>Кисельова Юлія Анатоліївна</cp:lastModifiedBy>
  <cp:revision>2</cp:revision>
  <cp:lastPrinted>2019-11-12T09:19:00Z</cp:lastPrinted>
  <dcterms:created xsi:type="dcterms:W3CDTF">2019-11-12T15:56:00Z</dcterms:created>
  <dcterms:modified xsi:type="dcterms:W3CDTF">2019-11-12T15:56:00Z</dcterms:modified>
</cp:coreProperties>
</file>