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32" w:rsidRPr="00304D68" w:rsidRDefault="00C44932" w:rsidP="00C44932">
      <w:pPr>
        <w:ind w:left="7230"/>
        <w:rPr>
          <w:rFonts w:cstheme="minorHAnsi"/>
          <w:sz w:val="23"/>
          <w:szCs w:val="23"/>
        </w:rPr>
      </w:pPr>
      <w:r w:rsidRPr="00304D68">
        <w:rPr>
          <w:rFonts w:cstheme="minorHAnsi"/>
          <w:sz w:val="23"/>
          <w:szCs w:val="23"/>
        </w:rPr>
        <w:t>До реєстр. № 0978</w:t>
      </w:r>
    </w:p>
    <w:p w:rsidR="00C44932" w:rsidRPr="00304D68" w:rsidRDefault="00C44932" w:rsidP="00C44932">
      <w:pPr>
        <w:jc w:val="right"/>
        <w:rPr>
          <w:rFonts w:cstheme="minorHAnsi"/>
          <w:sz w:val="23"/>
          <w:szCs w:val="23"/>
        </w:rPr>
      </w:pPr>
      <w:r w:rsidRPr="00304D68">
        <w:rPr>
          <w:rFonts w:cstheme="minorHAnsi"/>
          <w:sz w:val="23"/>
          <w:szCs w:val="23"/>
        </w:rPr>
        <w:t>(з пропозиціями Президента України)</w:t>
      </w:r>
    </w:p>
    <w:p w:rsidR="00C44932" w:rsidRPr="00437D73" w:rsidRDefault="00C44932" w:rsidP="00C44932">
      <w:pPr>
        <w:ind w:firstLine="709"/>
        <w:rPr>
          <w:rFonts w:cstheme="minorHAnsi"/>
          <w:sz w:val="30"/>
          <w:szCs w:val="30"/>
        </w:rPr>
      </w:pPr>
    </w:p>
    <w:p w:rsidR="00C44932" w:rsidRPr="00437D73" w:rsidRDefault="00C44932" w:rsidP="00C44932">
      <w:pPr>
        <w:ind w:firstLine="709"/>
        <w:rPr>
          <w:rFonts w:cstheme="minorHAnsi"/>
          <w:sz w:val="30"/>
          <w:szCs w:val="30"/>
        </w:rPr>
      </w:pPr>
    </w:p>
    <w:p w:rsidR="00C44932" w:rsidRPr="00437D73" w:rsidRDefault="00C44932" w:rsidP="00C44932">
      <w:pPr>
        <w:ind w:firstLine="709"/>
        <w:rPr>
          <w:rFonts w:cstheme="minorHAnsi"/>
          <w:sz w:val="30"/>
          <w:szCs w:val="30"/>
        </w:rPr>
      </w:pPr>
    </w:p>
    <w:p w:rsidR="00C44932" w:rsidRPr="00437D73" w:rsidRDefault="00C44932" w:rsidP="00C44932">
      <w:pPr>
        <w:ind w:firstLine="709"/>
        <w:rPr>
          <w:rFonts w:cstheme="minorHAnsi"/>
        </w:rPr>
      </w:pPr>
    </w:p>
    <w:p w:rsidR="00C44932" w:rsidRDefault="00C44932" w:rsidP="00C44932">
      <w:pPr>
        <w:ind w:firstLine="709"/>
        <w:rPr>
          <w:rFonts w:cstheme="minorHAnsi"/>
        </w:rPr>
      </w:pPr>
    </w:p>
    <w:p w:rsidR="005C5ACA" w:rsidRDefault="005C5ACA" w:rsidP="00C44932">
      <w:pPr>
        <w:ind w:firstLine="709"/>
        <w:rPr>
          <w:rFonts w:cstheme="minorHAnsi"/>
        </w:rPr>
      </w:pPr>
    </w:p>
    <w:p w:rsidR="00304D68" w:rsidRDefault="00304D68" w:rsidP="00C44932">
      <w:pPr>
        <w:ind w:firstLine="709"/>
        <w:rPr>
          <w:rFonts w:cstheme="minorHAnsi"/>
        </w:rPr>
      </w:pPr>
    </w:p>
    <w:p w:rsidR="00304D68" w:rsidRDefault="00304D68" w:rsidP="00C44932">
      <w:pPr>
        <w:ind w:firstLine="709"/>
        <w:rPr>
          <w:rFonts w:cstheme="minorHAnsi"/>
        </w:rPr>
      </w:pPr>
    </w:p>
    <w:p w:rsidR="00304D68" w:rsidRDefault="00304D68" w:rsidP="00C44932">
      <w:pPr>
        <w:ind w:firstLine="709"/>
        <w:rPr>
          <w:rFonts w:cstheme="minorHAnsi"/>
        </w:rPr>
      </w:pPr>
    </w:p>
    <w:p w:rsidR="00304D68" w:rsidRDefault="00304D68" w:rsidP="00C44932">
      <w:pPr>
        <w:ind w:firstLine="709"/>
        <w:rPr>
          <w:rFonts w:cstheme="minorHAnsi"/>
        </w:rPr>
      </w:pPr>
    </w:p>
    <w:p w:rsidR="00304D68" w:rsidRPr="00437D73" w:rsidRDefault="00304D68" w:rsidP="00C44932">
      <w:pPr>
        <w:ind w:firstLine="709"/>
        <w:rPr>
          <w:rFonts w:cstheme="minorHAnsi"/>
        </w:rPr>
      </w:pPr>
    </w:p>
    <w:p w:rsidR="00C44932" w:rsidRPr="00437D73" w:rsidRDefault="00C44932" w:rsidP="00C44932">
      <w:pPr>
        <w:ind w:firstLine="709"/>
        <w:jc w:val="right"/>
        <w:rPr>
          <w:rFonts w:cstheme="minorHAnsi"/>
          <w:b/>
        </w:rPr>
      </w:pPr>
      <w:r w:rsidRPr="00437D73">
        <w:rPr>
          <w:rFonts w:cstheme="minorHAnsi"/>
          <w:b/>
        </w:rPr>
        <w:t>ВЕРХОВНА РАДА УКРАЇНИ</w:t>
      </w:r>
    </w:p>
    <w:p w:rsidR="00756AC3" w:rsidRDefault="00756AC3" w:rsidP="000F6769">
      <w:pPr>
        <w:pStyle w:val="2"/>
        <w:spacing w:after="0" w:line="240" w:lineRule="auto"/>
        <w:ind w:firstLine="709"/>
        <w:jc w:val="both"/>
        <w:rPr>
          <w:bCs/>
        </w:rPr>
      </w:pPr>
    </w:p>
    <w:p w:rsidR="00756AC3" w:rsidRPr="00AC1094" w:rsidRDefault="00756AC3" w:rsidP="00756AC3">
      <w:pPr>
        <w:pStyle w:val="2"/>
        <w:spacing w:after="20" w:line="240" w:lineRule="auto"/>
        <w:ind w:firstLine="709"/>
        <w:jc w:val="both"/>
        <w:rPr>
          <w:bCs/>
        </w:rPr>
      </w:pPr>
      <w:r w:rsidRPr="00AC1094">
        <w:t xml:space="preserve">Комітет </w:t>
      </w:r>
      <w:r w:rsidR="00304D68">
        <w:t xml:space="preserve">Верховної Ради України </w:t>
      </w:r>
      <w:r w:rsidRPr="00AC1094">
        <w:t xml:space="preserve">з питань </w:t>
      </w:r>
      <w:r>
        <w:t xml:space="preserve">організації </w:t>
      </w:r>
      <w:r w:rsidRPr="00AC1094">
        <w:t>державно</w:t>
      </w:r>
      <w:r>
        <w:t>ї</w:t>
      </w:r>
      <w:r w:rsidRPr="00AC1094">
        <w:t xml:space="preserve"> </w:t>
      </w:r>
      <w:r>
        <w:t>влади</w:t>
      </w:r>
      <w:r w:rsidRPr="00AC1094">
        <w:t xml:space="preserve">, </w:t>
      </w:r>
      <w:r>
        <w:t xml:space="preserve">місцевого самоврядування, </w:t>
      </w:r>
      <w:r w:rsidRPr="00AC1094">
        <w:t>регіонально</w:t>
      </w:r>
      <w:r>
        <w:t>го розвитку та містобудування</w:t>
      </w:r>
      <w:r w:rsidRPr="00AC1094">
        <w:t xml:space="preserve"> з</w:t>
      </w:r>
      <w:r w:rsidRPr="00AC1094">
        <w:rPr>
          <w:bCs/>
        </w:rPr>
        <w:t xml:space="preserve">а дорученням Голови Верховної Ради України </w:t>
      </w:r>
      <w:proofErr w:type="spellStart"/>
      <w:r>
        <w:rPr>
          <w:bCs/>
        </w:rPr>
        <w:t>Д</w:t>
      </w:r>
      <w:r w:rsidRPr="00AC1094">
        <w:rPr>
          <w:bCs/>
        </w:rPr>
        <w:t>.</w:t>
      </w:r>
      <w:r>
        <w:rPr>
          <w:bCs/>
        </w:rPr>
        <w:t>Разумкова</w:t>
      </w:r>
      <w:proofErr w:type="spellEnd"/>
      <w:r w:rsidRPr="00AC1094">
        <w:rPr>
          <w:bCs/>
        </w:rPr>
        <w:t xml:space="preserve"> </w:t>
      </w:r>
      <w:r w:rsidRPr="00AC1094">
        <w:t xml:space="preserve">розглянув на своєму засіданні </w:t>
      </w:r>
      <w:r>
        <w:t>15 листопада</w:t>
      </w:r>
      <w:r w:rsidRPr="00AC1094">
        <w:t xml:space="preserve"> 201</w:t>
      </w:r>
      <w:r>
        <w:t>9</w:t>
      </w:r>
      <w:r w:rsidRPr="00AC1094">
        <w:t xml:space="preserve"> року </w:t>
      </w:r>
      <w:r>
        <w:t>п</w:t>
      </w:r>
      <w:r w:rsidRPr="00AC1094">
        <w:t xml:space="preserve">ропозиції Президента України до </w:t>
      </w:r>
      <w:r>
        <w:t xml:space="preserve">Виборчого кодексу України (далі – Кодекс), </w:t>
      </w:r>
      <w:r w:rsidRPr="00860EA4">
        <w:rPr>
          <w:bCs/>
        </w:rPr>
        <w:t xml:space="preserve">прийнятого Верховною Радою України </w:t>
      </w:r>
      <w:r>
        <w:rPr>
          <w:bCs/>
        </w:rPr>
        <w:t>11 липня</w:t>
      </w:r>
      <w:r w:rsidRPr="00860EA4">
        <w:rPr>
          <w:bCs/>
        </w:rPr>
        <w:t xml:space="preserve"> 201</w:t>
      </w:r>
      <w:r>
        <w:rPr>
          <w:bCs/>
        </w:rPr>
        <w:t>9</w:t>
      </w:r>
      <w:r w:rsidRPr="00860EA4">
        <w:rPr>
          <w:bCs/>
        </w:rPr>
        <w:t xml:space="preserve"> року</w:t>
      </w:r>
      <w:r w:rsidRPr="00AC1094">
        <w:rPr>
          <w:bCs/>
        </w:rPr>
        <w:t xml:space="preserve">. </w:t>
      </w:r>
    </w:p>
    <w:p w:rsidR="00756AC3" w:rsidRPr="00FF1BF6" w:rsidRDefault="00756AC3" w:rsidP="00756AC3">
      <w:pPr>
        <w:pStyle w:val="2"/>
        <w:spacing w:after="20" w:line="240" w:lineRule="auto"/>
        <w:ind w:firstLine="709"/>
        <w:jc w:val="both"/>
        <w:rPr>
          <w:bCs/>
          <w:spacing w:val="2"/>
        </w:rPr>
      </w:pPr>
      <w:r w:rsidRPr="00FF1BF6">
        <w:rPr>
          <w:bCs/>
          <w:spacing w:val="2"/>
        </w:rPr>
        <w:t xml:space="preserve">Президент України зазначив, що прийнятий Кодекс не може бути підписаний у запропонованій редакції, та висловив </w:t>
      </w:r>
      <w:r w:rsidR="00177981">
        <w:rPr>
          <w:bCs/>
          <w:spacing w:val="2"/>
        </w:rPr>
        <w:t xml:space="preserve">у своїх пропозиціях </w:t>
      </w:r>
      <w:r w:rsidRPr="00FF1BF6">
        <w:rPr>
          <w:bCs/>
          <w:spacing w:val="2"/>
        </w:rPr>
        <w:t xml:space="preserve">низку </w:t>
      </w:r>
      <w:r w:rsidR="00177981">
        <w:rPr>
          <w:bCs/>
          <w:spacing w:val="2"/>
        </w:rPr>
        <w:t>зауважень</w:t>
      </w:r>
      <w:r w:rsidRPr="00FF1BF6">
        <w:rPr>
          <w:bCs/>
          <w:spacing w:val="2"/>
        </w:rPr>
        <w:t xml:space="preserve"> до його положень, а саме щодо:</w:t>
      </w:r>
    </w:p>
    <w:p w:rsidR="00756AC3" w:rsidRPr="00437D73" w:rsidRDefault="00756AC3" w:rsidP="00756AC3">
      <w:pPr>
        <w:pStyle w:val="2"/>
        <w:numPr>
          <w:ilvl w:val="0"/>
          <w:numId w:val="1"/>
        </w:numPr>
        <w:tabs>
          <w:tab w:val="left" w:pos="1134"/>
        </w:tabs>
        <w:spacing w:after="20" w:line="240" w:lineRule="auto"/>
        <w:ind w:left="0" w:firstLine="709"/>
        <w:jc w:val="both"/>
        <w:rPr>
          <w:bCs/>
        </w:rPr>
      </w:pPr>
      <w:r w:rsidRPr="00476B01">
        <w:rPr>
          <w:bCs/>
        </w:rPr>
        <w:t>визначення системи проведення виборів народних депутатів України</w:t>
      </w:r>
      <w:r>
        <w:rPr>
          <w:bCs/>
        </w:rPr>
        <w:t>,</w:t>
      </w:r>
      <w:r w:rsidRPr="00476B01">
        <w:rPr>
          <w:bCs/>
        </w:rPr>
        <w:t xml:space="preserve"> міських голів міст з кількістю виборців 90 000 і більше, </w:t>
      </w:r>
      <w:r>
        <w:rPr>
          <w:bCs/>
        </w:rPr>
        <w:t xml:space="preserve">а також </w:t>
      </w:r>
      <w:r w:rsidRPr="00476B01">
        <w:rPr>
          <w:bCs/>
        </w:rPr>
        <w:t xml:space="preserve">безпідставності втрати </w:t>
      </w:r>
      <w:r>
        <w:rPr>
          <w:bCs/>
        </w:rPr>
        <w:t xml:space="preserve">громадянином </w:t>
      </w:r>
      <w:r w:rsidRPr="00476B01">
        <w:rPr>
          <w:bCs/>
        </w:rPr>
        <w:t xml:space="preserve">статусу суб’єкта виборчого процесу у зв’язку із скасуванням </w:t>
      </w:r>
      <w:r>
        <w:rPr>
          <w:bCs/>
        </w:rPr>
        <w:t xml:space="preserve">його </w:t>
      </w:r>
      <w:r w:rsidRPr="00476B01">
        <w:rPr>
          <w:bCs/>
        </w:rPr>
        <w:t xml:space="preserve">реєстрації </w:t>
      </w:r>
      <w:r>
        <w:rPr>
          <w:bCs/>
        </w:rPr>
        <w:t xml:space="preserve">як </w:t>
      </w:r>
      <w:r w:rsidRPr="00476B01">
        <w:rPr>
          <w:bCs/>
        </w:rPr>
        <w:t>кандидата;</w:t>
      </w:r>
    </w:p>
    <w:p w:rsidR="00756AC3" w:rsidRPr="00437D73" w:rsidRDefault="00756AC3" w:rsidP="00756AC3">
      <w:pPr>
        <w:pStyle w:val="2"/>
        <w:numPr>
          <w:ilvl w:val="0"/>
          <w:numId w:val="1"/>
        </w:numPr>
        <w:tabs>
          <w:tab w:val="left" w:pos="1134"/>
        </w:tabs>
        <w:spacing w:after="20" w:line="240" w:lineRule="auto"/>
        <w:ind w:left="0" w:firstLine="709"/>
        <w:jc w:val="both"/>
        <w:rPr>
          <w:bCs/>
        </w:rPr>
      </w:pPr>
      <w:r w:rsidRPr="00437D73">
        <w:rPr>
          <w:bCs/>
        </w:rPr>
        <w:t>відсутності у Кодексі норм, якими регулюється механізм заміни кандидата у депутати кандидатом такої ж статі у разі скасування реєстрації кандидата у депутати за зверненням партії (організації партії)</w:t>
      </w:r>
      <w:r w:rsidR="005C5ACA">
        <w:rPr>
          <w:bCs/>
        </w:rPr>
        <w:t>, яка висунула такого кандидата</w:t>
      </w:r>
      <w:r w:rsidRPr="00437D73">
        <w:rPr>
          <w:bCs/>
        </w:rPr>
        <w:t>;</w:t>
      </w:r>
    </w:p>
    <w:p w:rsidR="00756AC3" w:rsidRPr="00437D73" w:rsidRDefault="00756AC3" w:rsidP="00756AC3">
      <w:pPr>
        <w:pStyle w:val="2"/>
        <w:numPr>
          <w:ilvl w:val="0"/>
          <w:numId w:val="1"/>
        </w:numPr>
        <w:tabs>
          <w:tab w:val="left" w:pos="1134"/>
        </w:tabs>
        <w:spacing w:after="20" w:line="240" w:lineRule="auto"/>
        <w:ind w:left="0" w:firstLine="709"/>
        <w:jc w:val="both"/>
        <w:rPr>
          <w:bCs/>
        </w:rPr>
      </w:pPr>
      <w:r w:rsidRPr="00437D73">
        <w:rPr>
          <w:bCs/>
        </w:rPr>
        <w:t>забезпечення реалізації виборчих прав окремими категоріями осіб (внутрішньо переміщен</w:t>
      </w:r>
      <w:r w:rsidR="00304D68">
        <w:rPr>
          <w:bCs/>
        </w:rPr>
        <w:t>і</w:t>
      </w:r>
      <w:r w:rsidRPr="00437D73">
        <w:rPr>
          <w:bCs/>
        </w:rPr>
        <w:t xml:space="preserve"> ос</w:t>
      </w:r>
      <w:r w:rsidR="00304D68">
        <w:rPr>
          <w:bCs/>
        </w:rPr>
        <w:t>оби</w:t>
      </w:r>
      <w:r w:rsidRPr="00437D73">
        <w:rPr>
          <w:bCs/>
        </w:rPr>
        <w:t xml:space="preserve"> та ос</w:t>
      </w:r>
      <w:r w:rsidR="00304D68">
        <w:rPr>
          <w:bCs/>
        </w:rPr>
        <w:t>оби</w:t>
      </w:r>
      <w:r w:rsidRPr="00437D73">
        <w:rPr>
          <w:bCs/>
        </w:rPr>
        <w:t xml:space="preserve"> з інвалідністю);</w:t>
      </w:r>
    </w:p>
    <w:p w:rsidR="00756AC3" w:rsidRPr="00437D73" w:rsidRDefault="00177981" w:rsidP="00756AC3">
      <w:pPr>
        <w:pStyle w:val="2"/>
        <w:numPr>
          <w:ilvl w:val="0"/>
          <w:numId w:val="1"/>
        </w:numPr>
        <w:tabs>
          <w:tab w:val="left" w:pos="1134"/>
        </w:tabs>
        <w:spacing w:after="20" w:line="240" w:lineRule="auto"/>
        <w:ind w:left="0" w:firstLine="709"/>
        <w:jc w:val="both"/>
        <w:rPr>
          <w:bCs/>
        </w:rPr>
      </w:pPr>
      <w:r>
        <w:rPr>
          <w:bCs/>
        </w:rPr>
        <w:t xml:space="preserve">необхідності </w:t>
      </w:r>
      <w:r w:rsidR="00756AC3" w:rsidRPr="00437D73">
        <w:rPr>
          <w:bCs/>
        </w:rPr>
        <w:t>дотримання однакових підходів до визначення цензу осілості для кандидатів на пост Президента України та кандидатів у народні депутати України;</w:t>
      </w:r>
    </w:p>
    <w:p w:rsidR="00756AC3" w:rsidRPr="006D1D05" w:rsidRDefault="00756AC3" w:rsidP="00756AC3">
      <w:pPr>
        <w:pStyle w:val="2"/>
        <w:numPr>
          <w:ilvl w:val="0"/>
          <w:numId w:val="1"/>
        </w:numPr>
        <w:tabs>
          <w:tab w:val="left" w:pos="1134"/>
        </w:tabs>
        <w:spacing w:after="20" w:line="240" w:lineRule="auto"/>
        <w:ind w:left="0" w:firstLine="709"/>
        <w:jc w:val="both"/>
        <w:rPr>
          <w:bCs/>
        </w:rPr>
      </w:pPr>
      <w:r w:rsidRPr="006D1D05">
        <w:rPr>
          <w:bCs/>
        </w:rPr>
        <w:t>формування складу окружних та дільничних виборчих комісій, уповноважених організовувати підготовку та проведення виборів Президента України;</w:t>
      </w:r>
    </w:p>
    <w:p w:rsidR="00756AC3" w:rsidRPr="00437D73" w:rsidRDefault="00756AC3" w:rsidP="00756AC3">
      <w:pPr>
        <w:pStyle w:val="2"/>
        <w:numPr>
          <w:ilvl w:val="0"/>
          <w:numId w:val="1"/>
        </w:numPr>
        <w:tabs>
          <w:tab w:val="left" w:pos="1134"/>
        </w:tabs>
        <w:spacing w:after="20" w:line="240" w:lineRule="auto"/>
        <w:ind w:left="0" w:firstLine="709"/>
        <w:jc w:val="both"/>
        <w:rPr>
          <w:bCs/>
        </w:rPr>
      </w:pPr>
      <w:r w:rsidRPr="00437D73">
        <w:rPr>
          <w:bCs/>
        </w:rPr>
        <w:t>участі громадських організацій у спостереженні на виборах</w:t>
      </w:r>
      <w:r>
        <w:rPr>
          <w:bCs/>
        </w:rPr>
        <w:t xml:space="preserve"> та їх права на оскарження в суді рішень, дій чи бездіяльності органів державної влади, їх посадових та службових осіб</w:t>
      </w:r>
      <w:r w:rsidRPr="00437D73">
        <w:rPr>
          <w:bCs/>
        </w:rPr>
        <w:t>;</w:t>
      </w:r>
    </w:p>
    <w:p w:rsidR="00756AC3" w:rsidRPr="00437D73" w:rsidRDefault="00756AC3" w:rsidP="00756AC3">
      <w:pPr>
        <w:pStyle w:val="2"/>
        <w:numPr>
          <w:ilvl w:val="0"/>
          <w:numId w:val="1"/>
        </w:numPr>
        <w:tabs>
          <w:tab w:val="left" w:pos="1134"/>
        </w:tabs>
        <w:spacing w:after="20" w:line="240" w:lineRule="auto"/>
        <w:ind w:left="0" w:firstLine="709"/>
        <w:jc w:val="both"/>
        <w:rPr>
          <w:bCs/>
        </w:rPr>
      </w:pPr>
      <w:r>
        <w:rPr>
          <w:bCs/>
        </w:rPr>
        <w:lastRenderedPageBreak/>
        <w:t>обмеження права політичних партій висувати кандидатів на загально</w:t>
      </w:r>
      <w:r w:rsidR="00304D68">
        <w:rPr>
          <w:bCs/>
        </w:rPr>
        <w:t>державних</w:t>
      </w:r>
      <w:r>
        <w:rPr>
          <w:bCs/>
        </w:rPr>
        <w:t xml:space="preserve"> виборах, якщо така партія не має своїх місцевих організацій, зареєстрованих у менш, ніж 14 адміністративно-територіальних одиницях;</w:t>
      </w:r>
    </w:p>
    <w:p w:rsidR="00756AC3" w:rsidRDefault="00756AC3" w:rsidP="00756AC3">
      <w:pPr>
        <w:pStyle w:val="2"/>
        <w:numPr>
          <w:ilvl w:val="0"/>
          <w:numId w:val="1"/>
        </w:numPr>
        <w:tabs>
          <w:tab w:val="left" w:pos="1134"/>
        </w:tabs>
        <w:spacing w:after="20" w:line="240" w:lineRule="auto"/>
        <w:ind w:left="0" w:firstLine="709"/>
        <w:jc w:val="both"/>
        <w:rPr>
          <w:bCs/>
        </w:rPr>
      </w:pPr>
      <w:r w:rsidRPr="00437D73">
        <w:rPr>
          <w:bCs/>
        </w:rPr>
        <w:t xml:space="preserve">неузгодженості з нормами Конституції України наділення членів Центральної виборчої комісії </w:t>
      </w:r>
      <w:r w:rsidR="00304D68">
        <w:rPr>
          <w:bCs/>
        </w:rPr>
        <w:t xml:space="preserve">окремими </w:t>
      </w:r>
      <w:r w:rsidRPr="00437D73">
        <w:rPr>
          <w:bCs/>
        </w:rPr>
        <w:t>новими повноваженнями;</w:t>
      </w:r>
    </w:p>
    <w:p w:rsidR="00756AC3" w:rsidRPr="00437D73" w:rsidRDefault="00756AC3" w:rsidP="00756AC3">
      <w:pPr>
        <w:pStyle w:val="2"/>
        <w:numPr>
          <w:ilvl w:val="0"/>
          <w:numId w:val="1"/>
        </w:numPr>
        <w:tabs>
          <w:tab w:val="left" w:pos="1134"/>
        </w:tabs>
        <w:spacing w:after="20" w:line="240" w:lineRule="auto"/>
        <w:ind w:left="0" w:firstLine="709"/>
        <w:jc w:val="both"/>
        <w:rPr>
          <w:bCs/>
        </w:rPr>
      </w:pPr>
      <w:r>
        <w:rPr>
          <w:bCs/>
        </w:rPr>
        <w:t>недопущення зменшення відсоткового бар</w:t>
      </w:r>
      <w:r w:rsidRPr="00E6696C">
        <w:rPr>
          <w:bCs/>
        </w:rPr>
        <w:t>’</w:t>
      </w:r>
      <w:r>
        <w:rPr>
          <w:bCs/>
        </w:rPr>
        <w:t>єра отриманих голосів виборців за результатами загальнодержавних виборів та кандидатам на посаду міського голови для повернення грошової застави, а також для відшкодування партіям, які за підсумками виб</w:t>
      </w:r>
      <w:bookmarkStart w:id="0" w:name="_GoBack"/>
      <w:bookmarkEnd w:id="0"/>
      <w:r>
        <w:rPr>
          <w:bCs/>
        </w:rPr>
        <w:t>орів не отримали права на участь у розподілі депутатських мандатів, витрат, пов</w:t>
      </w:r>
      <w:r w:rsidRPr="00E6696C">
        <w:rPr>
          <w:bCs/>
        </w:rPr>
        <w:t xml:space="preserve">’язаних з фінансуванням своєї </w:t>
      </w:r>
      <w:r w:rsidR="00C03F25">
        <w:rPr>
          <w:bCs/>
        </w:rPr>
        <w:t>передвиборної</w:t>
      </w:r>
      <w:r w:rsidRPr="00E6696C">
        <w:rPr>
          <w:bCs/>
        </w:rPr>
        <w:t xml:space="preserve"> агітації</w:t>
      </w:r>
      <w:r>
        <w:rPr>
          <w:bCs/>
        </w:rPr>
        <w:t>;</w:t>
      </w:r>
    </w:p>
    <w:p w:rsidR="00756AC3" w:rsidRPr="00437D73" w:rsidRDefault="00756AC3" w:rsidP="00756AC3">
      <w:pPr>
        <w:pStyle w:val="2"/>
        <w:numPr>
          <w:ilvl w:val="0"/>
          <w:numId w:val="1"/>
        </w:numPr>
        <w:tabs>
          <w:tab w:val="left" w:pos="1134"/>
        </w:tabs>
        <w:spacing w:after="20" w:line="240" w:lineRule="auto"/>
        <w:ind w:left="0" w:firstLine="709"/>
        <w:jc w:val="both"/>
        <w:rPr>
          <w:bCs/>
        </w:rPr>
      </w:pPr>
      <w:r w:rsidRPr="00437D73">
        <w:rPr>
          <w:bCs/>
        </w:rPr>
        <w:t xml:space="preserve">особливостей </w:t>
      </w:r>
      <w:r w:rsidR="00177981">
        <w:rPr>
          <w:bCs/>
        </w:rPr>
        <w:t xml:space="preserve">регулювання </w:t>
      </w:r>
      <w:r w:rsidRPr="00437D73">
        <w:rPr>
          <w:bCs/>
        </w:rPr>
        <w:t>правового статусу голови, заступника голови та секретаря виборчої комісії Автономної Республіки Крим;</w:t>
      </w:r>
    </w:p>
    <w:p w:rsidR="00756AC3" w:rsidRPr="00437D73" w:rsidRDefault="00756AC3" w:rsidP="00756AC3">
      <w:pPr>
        <w:pStyle w:val="2"/>
        <w:numPr>
          <w:ilvl w:val="0"/>
          <w:numId w:val="1"/>
        </w:numPr>
        <w:tabs>
          <w:tab w:val="left" w:pos="1134"/>
        </w:tabs>
        <w:spacing w:after="20" w:line="240" w:lineRule="auto"/>
        <w:ind w:left="0" w:firstLine="709"/>
        <w:jc w:val="both"/>
        <w:rPr>
          <w:bCs/>
        </w:rPr>
      </w:pPr>
      <w:r w:rsidRPr="00437D73">
        <w:rPr>
          <w:bCs/>
        </w:rPr>
        <w:t>визначення суб’єкта контролю за правильним та цільовим використанням коштів Державного бюджету України, виділених на підготовку та проведення загально</w:t>
      </w:r>
      <w:r w:rsidR="00E77EA0">
        <w:rPr>
          <w:bCs/>
        </w:rPr>
        <w:t>державних</w:t>
      </w:r>
      <w:r w:rsidRPr="00437D73">
        <w:rPr>
          <w:bCs/>
        </w:rPr>
        <w:t xml:space="preserve"> виборів;</w:t>
      </w:r>
    </w:p>
    <w:p w:rsidR="00756AC3" w:rsidRPr="00437D73" w:rsidRDefault="00756AC3" w:rsidP="00756AC3">
      <w:pPr>
        <w:pStyle w:val="2"/>
        <w:numPr>
          <w:ilvl w:val="0"/>
          <w:numId w:val="1"/>
        </w:numPr>
        <w:tabs>
          <w:tab w:val="left" w:pos="1134"/>
        </w:tabs>
        <w:spacing w:after="20" w:line="240" w:lineRule="auto"/>
        <w:ind w:left="0" w:firstLine="709"/>
        <w:jc w:val="both"/>
        <w:rPr>
          <w:bCs/>
        </w:rPr>
      </w:pPr>
      <w:r>
        <w:rPr>
          <w:bCs/>
        </w:rPr>
        <w:t xml:space="preserve">приведення у відповідність до Закону України «Про публічні закупівлі» норм Кодексу, якими регулюються процедури </w:t>
      </w:r>
      <w:r w:rsidRPr="00437D73">
        <w:rPr>
          <w:bCs/>
        </w:rPr>
        <w:t xml:space="preserve">здійснення </w:t>
      </w:r>
      <w:proofErr w:type="spellStart"/>
      <w:r w:rsidRPr="00437D73">
        <w:rPr>
          <w:bCs/>
        </w:rPr>
        <w:t>закупівель</w:t>
      </w:r>
      <w:proofErr w:type="spellEnd"/>
      <w:r w:rsidRPr="00437D73">
        <w:rPr>
          <w:bCs/>
        </w:rPr>
        <w:t xml:space="preserve"> товарів, робіт і послуг за рахунок </w:t>
      </w:r>
      <w:r>
        <w:rPr>
          <w:bCs/>
        </w:rPr>
        <w:t>бюджетних коштів</w:t>
      </w:r>
      <w:r w:rsidRPr="00437D73">
        <w:rPr>
          <w:bCs/>
        </w:rPr>
        <w:t xml:space="preserve"> для підготовки та проведення виборів;</w:t>
      </w:r>
    </w:p>
    <w:p w:rsidR="00756AC3" w:rsidRPr="00437D73" w:rsidRDefault="00756AC3" w:rsidP="00756AC3">
      <w:pPr>
        <w:pStyle w:val="2"/>
        <w:numPr>
          <w:ilvl w:val="0"/>
          <w:numId w:val="1"/>
        </w:numPr>
        <w:tabs>
          <w:tab w:val="left" w:pos="1134"/>
        </w:tabs>
        <w:spacing w:after="20" w:line="240" w:lineRule="auto"/>
        <w:ind w:left="0" w:firstLine="709"/>
        <w:jc w:val="both"/>
        <w:rPr>
          <w:bCs/>
        </w:rPr>
      </w:pPr>
      <w:r w:rsidRPr="00437D73">
        <w:rPr>
          <w:bCs/>
        </w:rPr>
        <w:t>відповідальності засобів масової інформації за вчинення повторного або одноразового грубого порушення вимог Кодексу, у разі встановлення судом факту такого порушення;</w:t>
      </w:r>
    </w:p>
    <w:p w:rsidR="00756AC3" w:rsidRPr="00437D73" w:rsidRDefault="00756AC3" w:rsidP="00756AC3">
      <w:pPr>
        <w:pStyle w:val="2"/>
        <w:numPr>
          <w:ilvl w:val="0"/>
          <w:numId w:val="1"/>
        </w:numPr>
        <w:tabs>
          <w:tab w:val="left" w:pos="1134"/>
        </w:tabs>
        <w:spacing w:after="20" w:line="240" w:lineRule="auto"/>
        <w:ind w:left="0" w:firstLine="709"/>
        <w:jc w:val="both"/>
        <w:rPr>
          <w:bCs/>
        </w:rPr>
      </w:pPr>
      <w:r w:rsidRPr="00437D73">
        <w:rPr>
          <w:bCs/>
        </w:rPr>
        <w:t xml:space="preserve">викладення окремих положень Кодексу без врахування вже прийнятих законодавчих актів, спрямованих на вдосконалення виборчого законодавства, зокрема, </w:t>
      </w:r>
      <w:r w:rsidR="00C03F25">
        <w:rPr>
          <w:bCs/>
        </w:rPr>
        <w:t>з</w:t>
      </w:r>
      <w:r w:rsidRPr="00437D73">
        <w:rPr>
          <w:bCs/>
        </w:rPr>
        <w:t>акон</w:t>
      </w:r>
      <w:r w:rsidR="00C03F25">
        <w:rPr>
          <w:bCs/>
        </w:rPr>
        <w:t>ів</w:t>
      </w:r>
      <w:r w:rsidRPr="00437D73">
        <w:rPr>
          <w:bCs/>
        </w:rPr>
        <w:t xml:space="preserve"> України «Про внесення змін до деяких законодавчих актів України щодо запобігання і протидії політичній корупції», «Про засудження комуністичного та націонал-соціалістичного (нацистського) тоталітарних режимів в Україні та заборону пропаганди їхньої символіки», «</w:t>
      </w:r>
      <w:r w:rsidRPr="00437D73">
        <w:t>Про внесення змін до деяких законодавчих актів України щодо створення економічних передумов для посилення захисту права дитини на належне утримання</w:t>
      </w:r>
      <w:r w:rsidRPr="00437D73">
        <w:rPr>
          <w:bCs/>
        </w:rPr>
        <w:t>», «</w:t>
      </w:r>
      <w:r w:rsidRPr="00437D73">
        <w:t>Про внесення змін до деяких законів України щодо спостереження за виборчим процесом в Україні</w:t>
      </w:r>
      <w:r w:rsidRPr="00437D73">
        <w:rPr>
          <w:bCs/>
        </w:rPr>
        <w:t>», «</w:t>
      </w:r>
      <w:r w:rsidRPr="00437D73">
        <w:t>Про забезпечення функціонування української мови як державної</w:t>
      </w:r>
      <w:r w:rsidRPr="00437D73">
        <w:rPr>
          <w:bCs/>
        </w:rPr>
        <w:t>»;</w:t>
      </w:r>
    </w:p>
    <w:p w:rsidR="00756AC3" w:rsidRDefault="00756AC3" w:rsidP="00756AC3">
      <w:pPr>
        <w:pStyle w:val="2"/>
        <w:numPr>
          <w:ilvl w:val="0"/>
          <w:numId w:val="1"/>
        </w:numPr>
        <w:tabs>
          <w:tab w:val="left" w:pos="1134"/>
        </w:tabs>
        <w:spacing w:after="20" w:line="240" w:lineRule="auto"/>
        <w:ind w:left="0" w:firstLine="709"/>
        <w:jc w:val="both"/>
        <w:rPr>
          <w:bCs/>
        </w:rPr>
      </w:pPr>
      <w:r w:rsidRPr="00437D73">
        <w:rPr>
          <w:bCs/>
        </w:rPr>
        <w:t>неврахування рекомендацій міжнародних експертів за результатами спостереження за виборчими кампаніями, зокрема, щодо запровадження обмежень витрат на проведення кампаній</w:t>
      </w:r>
      <w:r>
        <w:rPr>
          <w:bCs/>
        </w:rPr>
        <w:t>;</w:t>
      </w:r>
    </w:p>
    <w:p w:rsidR="00756AC3" w:rsidRPr="00A570A4" w:rsidRDefault="00756AC3" w:rsidP="00756AC3">
      <w:pPr>
        <w:pStyle w:val="2"/>
        <w:numPr>
          <w:ilvl w:val="0"/>
          <w:numId w:val="1"/>
        </w:numPr>
        <w:tabs>
          <w:tab w:val="left" w:pos="1134"/>
        </w:tabs>
        <w:spacing w:after="20" w:line="240" w:lineRule="auto"/>
        <w:ind w:left="0" w:firstLine="709"/>
        <w:jc w:val="both"/>
        <w:rPr>
          <w:bCs/>
        </w:rPr>
      </w:pPr>
      <w:r>
        <w:rPr>
          <w:bCs/>
        </w:rPr>
        <w:t xml:space="preserve">порядку проведення </w:t>
      </w:r>
      <w:r w:rsidRPr="00B20546">
        <w:t>проміжних виборів</w:t>
      </w:r>
      <w:r w:rsidR="00C03F25">
        <w:t xml:space="preserve"> народних депутатів України, обраних в одномандатних округах, і заміщення народних депутатів України, обраних у загальнодержавному виборчому окрузі, повноваження яких були </w:t>
      </w:r>
      <w:r w:rsidRPr="00B20546">
        <w:t>достроков</w:t>
      </w:r>
      <w:r w:rsidR="00C03F25">
        <w:t>о</w:t>
      </w:r>
      <w:r w:rsidRPr="00B20546">
        <w:t xml:space="preserve"> припинен</w:t>
      </w:r>
      <w:r w:rsidR="00C03F25">
        <w:t>і</w:t>
      </w:r>
      <w:r w:rsidRPr="00B20546">
        <w:t>, обраних до набрання чинності цим Кодексом</w:t>
      </w:r>
      <w:r>
        <w:t>;</w:t>
      </w:r>
    </w:p>
    <w:p w:rsidR="00756AC3" w:rsidRPr="00437D73" w:rsidRDefault="00756AC3" w:rsidP="00756AC3">
      <w:pPr>
        <w:pStyle w:val="2"/>
        <w:numPr>
          <w:ilvl w:val="0"/>
          <w:numId w:val="1"/>
        </w:numPr>
        <w:tabs>
          <w:tab w:val="left" w:pos="1134"/>
        </w:tabs>
        <w:spacing w:after="20" w:line="240" w:lineRule="auto"/>
        <w:ind w:left="0" w:firstLine="709"/>
        <w:jc w:val="both"/>
        <w:rPr>
          <w:bCs/>
        </w:rPr>
      </w:pPr>
      <w:r>
        <w:t>необхідності техніко-юридичного доопрацювання положень Кодексу з метою уникнення численних внутрішніх суперечностей та неузгодження з іншими законодавчими актами.</w:t>
      </w:r>
    </w:p>
    <w:p w:rsidR="00756AC3" w:rsidRPr="00831B58" w:rsidRDefault="00756AC3" w:rsidP="00756AC3">
      <w:pPr>
        <w:pStyle w:val="2"/>
        <w:spacing w:after="20" w:line="240" w:lineRule="auto"/>
        <w:ind w:firstLine="709"/>
        <w:jc w:val="both"/>
        <w:rPr>
          <w:bCs/>
          <w:lang w:val="ru-RU"/>
        </w:rPr>
      </w:pPr>
      <w:r>
        <w:rPr>
          <w:bCs/>
        </w:rPr>
        <w:lastRenderedPageBreak/>
        <w:t>Також Президент України у своїх пропозиціях до Кодексу вказав, що наведений перелік зауважень не є вичерпним.</w:t>
      </w:r>
    </w:p>
    <w:p w:rsidR="00756AC3" w:rsidRDefault="00756AC3" w:rsidP="00756AC3">
      <w:pPr>
        <w:spacing w:after="20"/>
        <w:ind w:firstLine="709"/>
        <w:jc w:val="both"/>
        <w:rPr>
          <w:bCs/>
        </w:rPr>
      </w:pPr>
      <w:r w:rsidRPr="00437D73">
        <w:t xml:space="preserve">Головне науково-експертне управління Апарату Верховної Ради України у своєму висновку </w:t>
      </w:r>
      <w:r>
        <w:t xml:space="preserve">відмічає, що значна частина </w:t>
      </w:r>
      <w:r w:rsidRPr="00437D73">
        <w:rPr>
          <w:bCs/>
        </w:rPr>
        <w:t>зауважен</w:t>
      </w:r>
      <w:r>
        <w:rPr>
          <w:bCs/>
        </w:rPr>
        <w:t>ь</w:t>
      </w:r>
      <w:r w:rsidRPr="00437D73">
        <w:rPr>
          <w:bCs/>
        </w:rPr>
        <w:t xml:space="preserve"> Президента </w:t>
      </w:r>
      <w:r>
        <w:rPr>
          <w:bCs/>
        </w:rPr>
        <w:t xml:space="preserve">України </w:t>
      </w:r>
      <w:r w:rsidRPr="00437D73">
        <w:rPr>
          <w:bCs/>
        </w:rPr>
        <w:t xml:space="preserve">до тексту Кодексу </w:t>
      </w:r>
      <w:r>
        <w:rPr>
          <w:bCs/>
        </w:rPr>
        <w:t>є обґрунтованою і їх варто врахувати.</w:t>
      </w:r>
    </w:p>
    <w:p w:rsidR="00756AC3" w:rsidRPr="00BA648B" w:rsidRDefault="00756AC3" w:rsidP="00756AC3">
      <w:pPr>
        <w:spacing w:after="20"/>
        <w:ind w:firstLine="709"/>
        <w:jc w:val="both"/>
        <w:rPr>
          <w:spacing w:val="4"/>
        </w:rPr>
      </w:pPr>
      <w:r w:rsidRPr="00BA648B">
        <w:rPr>
          <w:spacing w:val="4"/>
        </w:rPr>
        <w:t xml:space="preserve">За наслідками вивчення та аналізу кожної з наданих Президентом України 17-ти пропозицій, Комітет констатує, що вони стосуються практично всіх аспектів </w:t>
      </w:r>
      <w:r w:rsidRPr="006D1D05">
        <w:t>сфери регулювання проекту Виборчого</w:t>
      </w:r>
      <w:r w:rsidRPr="00BA648B">
        <w:rPr>
          <w:spacing w:val="4"/>
        </w:rPr>
        <w:t xml:space="preserve"> кодексу </w:t>
      </w:r>
      <w:r w:rsidR="00C03F25">
        <w:t>України (реєстр. № </w:t>
      </w:r>
      <w:r w:rsidRPr="006D1D05">
        <w:t>0978),</w:t>
      </w:r>
      <w:r w:rsidRPr="00BA648B">
        <w:rPr>
          <w:spacing w:val="4"/>
        </w:rPr>
        <w:t xml:space="preserve"> його змістовних положень та структурних одиниць. При цьому більшість із зазначених пропозицій Президента України сформульовано узагальнено і вони охоплюють групи статей та окремі тематичні напрями, що відображені у різних частинах документу.</w:t>
      </w:r>
    </w:p>
    <w:p w:rsidR="00756AC3" w:rsidRPr="00BA648B" w:rsidRDefault="00756AC3" w:rsidP="00756AC3">
      <w:pPr>
        <w:spacing w:after="20"/>
        <w:ind w:firstLine="709"/>
        <w:jc w:val="both"/>
        <w:rPr>
          <w:spacing w:val="4"/>
        </w:rPr>
      </w:pPr>
      <w:r w:rsidRPr="00BA648B">
        <w:rPr>
          <w:spacing w:val="4"/>
        </w:rPr>
        <w:t>Зважаючи на дану обставину, предметом розгляду та опрацювання у Комітеті стали увесь масив нормативного матеріалу проекту Кодексу, чинне виборче законодавство, закони України «Про Центральну виборчу комісію», «Про Державний реєстр виборців», інші закони України</w:t>
      </w:r>
      <w:r w:rsidR="00C03F25">
        <w:rPr>
          <w:spacing w:val="4"/>
        </w:rPr>
        <w:t>,</w:t>
      </w:r>
      <w:r w:rsidRPr="00BA648B">
        <w:rPr>
          <w:spacing w:val="4"/>
        </w:rPr>
        <w:t xml:space="preserve"> на необхідність узгодження або врахування положень яких вказував Глава держави. До співпраці було залучено народних депутатів України, представників Офісу Президента України, Секретаріату Кабінету Міністрів України, Міністерства юстиції України, Центральної виборчої комісії, її Секретаріату та Служби розпорядника Державного реєстру виборців, а також громадських організацій та наших міжнародних партнерів, які опікуються проблематикою вдосконалення виборчого законодавства.</w:t>
      </w:r>
    </w:p>
    <w:p w:rsidR="00756AC3" w:rsidRDefault="00756AC3" w:rsidP="00756AC3">
      <w:pPr>
        <w:spacing w:after="20"/>
        <w:ind w:firstLine="709"/>
        <w:jc w:val="both"/>
        <w:rPr>
          <w:bCs/>
        </w:rPr>
      </w:pPr>
      <w:r>
        <w:rPr>
          <w:spacing w:val="2"/>
        </w:rPr>
        <w:t>За результатами проведеної роботи та з огляду на вимоги частини четвертої статті 133 Регламенту Верховної Ради України Комітетом до розгляду на пленарному засіданні Парламенту підготовлено порівняльну таблицю, перша колонка якої містить текст проекту Виборчого кодексу України (реєстр. № 09</w:t>
      </w:r>
      <w:r w:rsidR="00912F4C">
        <w:rPr>
          <w:spacing w:val="2"/>
        </w:rPr>
        <w:t>7</w:t>
      </w:r>
      <w:r>
        <w:rPr>
          <w:spacing w:val="2"/>
        </w:rPr>
        <w:t xml:space="preserve">8), друга – пропозиції Президента України у запропонованій ним нумерації, третя – висновки Комітету щодо врахування кожної з цих пропозицій, четверта – </w:t>
      </w:r>
      <w:r w:rsidRPr="0014092D">
        <w:rPr>
          <w:spacing w:val="2"/>
        </w:rPr>
        <w:t xml:space="preserve">текст </w:t>
      </w:r>
      <w:r>
        <w:rPr>
          <w:spacing w:val="2"/>
        </w:rPr>
        <w:t>остаточної редакції Виборчого кодексу України, який комплексно враховує всі пропозиції Президента України і рекомендується Комітетом для прийняття Верховною Радою України.</w:t>
      </w:r>
    </w:p>
    <w:p w:rsidR="00C44932" w:rsidRPr="00437D73" w:rsidRDefault="00C44932" w:rsidP="00C44932">
      <w:pPr>
        <w:ind w:firstLine="709"/>
        <w:jc w:val="both"/>
      </w:pPr>
      <w:r w:rsidRPr="00437D73">
        <w:rPr>
          <w:bCs/>
        </w:rPr>
        <w:t xml:space="preserve">Беручи до уваги висновок Головного науково-експертного управління Апарату Верховної Ради України, з’ясувавши позицію народних депутатів України – членів Комітету, запрошених на засідання осіб, та всебічно обговоривши питання, Комітет вирішив </w:t>
      </w:r>
      <w:r w:rsidR="000F6769">
        <w:rPr>
          <w:bCs/>
        </w:rPr>
        <w:t>р</w:t>
      </w:r>
      <w:r w:rsidR="000F6769" w:rsidRPr="00A11325">
        <w:t xml:space="preserve">екомендувати Верховній Раді України відповідно до частини </w:t>
      </w:r>
      <w:r w:rsidR="000F6769">
        <w:t>третьої статті 133, частини третьої статті 134, частин четвертої та п’ятої</w:t>
      </w:r>
      <w:r w:rsidR="000F6769" w:rsidRPr="00A11325">
        <w:t xml:space="preserve"> статті 135 Регламенту Верховної Ради України прийняти </w:t>
      </w:r>
      <w:r w:rsidR="000F6769">
        <w:t xml:space="preserve">всі </w:t>
      </w:r>
      <w:r w:rsidR="000F6769" w:rsidRPr="00A11325">
        <w:t xml:space="preserve">Пропозиції Президента України до </w:t>
      </w:r>
      <w:r w:rsidR="000F6769">
        <w:t xml:space="preserve">Виборчого кодексу України шляхом голосування по кожній із них </w:t>
      </w:r>
      <w:r w:rsidR="000F6769" w:rsidRPr="00A11325">
        <w:t xml:space="preserve">та </w:t>
      </w:r>
      <w:r w:rsidR="000F6769">
        <w:t>прийняти Виборчий кодекс України в редакції Комітету в цілому як закон.</w:t>
      </w:r>
    </w:p>
    <w:p w:rsidR="000F6769" w:rsidRDefault="00304D68" w:rsidP="00C44932">
      <w:pPr>
        <w:pStyle w:val="2"/>
        <w:spacing w:after="0" w:line="240" w:lineRule="auto"/>
        <w:ind w:firstLine="709"/>
        <w:jc w:val="both"/>
      </w:pPr>
      <w:r>
        <w:t>У разі прийняття всіх пропозицій Президента України та Виборчого кодексу України в цілому, Верховній Раді України пропонується д</w:t>
      </w:r>
      <w:r w:rsidR="000F6769" w:rsidRPr="00A11325">
        <w:t xml:space="preserve">оручити Комітету при підготовці тексту </w:t>
      </w:r>
      <w:r w:rsidR="000F6769">
        <w:t xml:space="preserve">Кодексу </w:t>
      </w:r>
      <w:r w:rsidR="000F6769" w:rsidRPr="00A11325">
        <w:t xml:space="preserve">на підпис Голові Верховної Ради України здійснити </w:t>
      </w:r>
      <w:r w:rsidR="000F6769" w:rsidRPr="00A11325">
        <w:lastRenderedPageBreak/>
        <w:t>спільно з Головним юридичним управлінням Апарату Верховної Ради України його техніко-юридичне доопрацювання.</w:t>
      </w:r>
    </w:p>
    <w:p w:rsidR="00C44932" w:rsidRPr="00437D73" w:rsidRDefault="00C44932" w:rsidP="00C44932">
      <w:pPr>
        <w:pStyle w:val="2"/>
        <w:spacing w:after="0" w:line="240" w:lineRule="auto"/>
        <w:ind w:firstLine="709"/>
        <w:jc w:val="both"/>
      </w:pPr>
      <w:r w:rsidRPr="00437D73">
        <w:t xml:space="preserve">Співдоповідачем з цього питання на пленарному засіданні Верховної Ради України Комітет визначив народного депутата України, </w:t>
      </w:r>
      <w:r w:rsidR="00912F4C">
        <w:t>заступника Голови Комітету</w:t>
      </w:r>
      <w:r w:rsidR="00C67C95">
        <w:t>,</w:t>
      </w:r>
      <w:r w:rsidR="00912F4C">
        <w:t xml:space="preserve"> </w:t>
      </w:r>
      <w:r w:rsidRPr="00437D73">
        <w:t xml:space="preserve">голову підкомітету з питань </w:t>
      </w:r>
      <w:r w:rsidR="00981860" w:rsidRPr="00437D73">
        <w:t xml:space="preserve">виборів, референдумів та інших форм </w:t>
      </w:r>
      <w:r w:rsidR="00912F4C">
        <w:t xml:space="preserve">безпосередньої демократії </w:t>
      </w:r>
      <w:proofErr w:type="spellStart"/>
      <w:r w:rsidRPr="00437D73">
        <w:t>А.</w:t>
      </w:r>
      <w:r w:rsidR="00981860" w:rsidRPr="00437D73">
        <w:t>Загоруйко</w:t>
      </w:r>
      <w:proofErr w:type="spellEnd"/>
      <w:r w:rsidRPr="00437D73">
        <w:t>.</w:t>
      </w:r>
    </w:p>
    <w:p w:rsidR="00C44932" w:rsidRPr="00437D73" w:rsidRDefault="00C44932" w:rsidP="00C44932">
      <w:pPr>
        <w:pStyle w:val="2"/>
        <w:spacing w:after="0" w:line="240" w:lineRule="auto"/>
        <w:ind w:firstLine="709"/>
        <w:jc w:val="both"/>
      </w:pPr>
      <w:r w:rsidRPr="00437D73">
        <w:t>Порівняльна таблиця та зауваження Головного науково-експертного управління Апарату Верхової Ради України додаються.</w:t>
      </w:r>
    </w:p>
    <w:p w:rsidR="00C44932" w:rsidRDefault="00C44932" w:rsidP="00C44932">
      <w:pPr>
        <w:pStyle w:val="2"/>
        <w:spacing w:after="0" w:line="240" w:lineRule="auto"/>
        <w:ind w:firstLine="709"/>
        <w:jc w:val="both"/>
      </w:pPr>
    </w:p>
    <w:p w:rsidR="005C5ACA" w:rsidRDefault="005C5ACA" w:rsidP="00C44932">
      <w:pPr>
        <w:pStyle w:val="2"/>
        <w:spacing w:after="0" w:line="240" w:lineRule="auto"/>
        <w:ind w:firstLine="709"/>
        <w:jc w:val="both"/>
      </w:pPr>
    </w:p>
    <w:p w:rsidR="005C5ACA" w:rsidRDefault="005C5ACA" w:rsidP="00C44932">
      <w:pPr>
        <w:pStyle w:val="2"/>
        <w:spacing w:after="0" w:line="240" w:lineRule="auto"/>
        <w:ind w:firstLine="709"/>
        <w:jc w:val="both"/>
      </w:pPr>
    </w:p>
    <w:p w:rsidR="00304D68" w:rsidRPr="00437D73" w:rsidRDefault="00304D68" w:rsidP="00C44932">
      <w:pPr>
        <w:pStyle w:val="2"/>
        <w:spacing w:after="0" w:line="240" w:lineRule="auto"/>
        <w:ind w:firstLine="709"/>
        <w:jc w:val="both"/>
      </w:pPr>
    </w:p>
    <w:p w:rsidR="008573CC" w:rsidRPr="00437D73" w:rsidRDefault="00C44932" w:rsidP="00981860">
      <w:pPr>
        <w:ind w:firstLine="709"/>
        <w:jc w:val="both"/>
      </w:pPr>
      <w:r w:rsidRPr="00437D73">
        <w:rPr>
          <w:b/>
        </w:rPr>
        <w:t>Голова Комітету</w:t>
      </w:r>
      <w:r w:rsidRPr="00437D73">
        <w:rPr>
          <w:b/>
        </w:rPr>
        <w:tab/>
      </w:r>
      <w:r w:rsidRPr="00437D73">
        <w:rPr>
          <w:b/>
        </w:rPr>
        <w:tab/>
      </w:r>
      <w:r w:rsidRPr="00437D73">
        <w:rPr>
          <w:b/>
        </w:rPr>
        <w:tab/>
      </w:r>
      <w:r w:rsidRPr="00437D73">
        <w:rPr>
          <w:b/>
        </w:rPr>
        <w:tab/>
      </w:r>
      <w:r w:rsidRPr="00437D73">
        <w:rPr>
          <w:b/>
        </w:rPr>
        <w:tab/>
      </w:r>
      <w:r w:rsidRPr="00437D73">
        <w:rPr>
          <w:b/>
        </w:rPr>
        <w:tab/>
      </w:r>
      <w:r w:rsidR="00981860" w:rsidRPr="00437D73">
        <w:rPr>
          <w:b/>
        </w:rPr>
        <w:tab/>
        <w:t xml:space="preserve">     А</w:t>
      </w:r>
      <w:r w:rsidRPr="00437D73">
        <w:rPr>
          <w:b/>
        </w:rPr>
        <w:t xml:space="preserve">. </w:t>
      </w:r>
      <w:r w:rsidR="00981860" w:rsidRPr="00437D73">
        <w:rPr>
          <w:b/>
        </w:rPr>
        <w:t>КЛОЧКО</w:t>
      </w:r>
    </w:p>
    <w:sectPr w:rsidR="008573CC" w:rsidRPr="00437D73" w:rsidSect="0088020A">
      <w:footerReference w:type="default" r:id="rId7"/>
      <w:pgSz w:w="11906" w:h="16838"/>
      <w:pgMar w:top="851" w:right="851" w:bottom="1134" w:left="127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24" w:rsidRDefault="00ED6924">
      <w:r>
        <w:separator/>
      </w:r>
    </w:p>
  </w:endnote>
  <w:endnote w:type="continuationSeparator" w:id="0">
    <w:p w:rsidR="00ED6924" w:rsidRDefault="00ED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2315"/>
      <w:docPartObj>
        <w:docPartGallery w:val="Page Numbers (Bottom of Page)"/>
        <w:docPartUnique/>
      </w:docPartObj>
    </w:sdtPr>
    <w:sdtEndPr/>
    <w:sdtContent>
      <w:p w:rsidR="00AF4B95" w:rsidRDefault="00D63E60">
        <w:pPr>
          <w:pStyle w:val="a3"/>
          <w:jc w:val="center"/>
        </w:pPr>
        <w:r>
          <w:fldChar w:fldCharType="begin"/>
        </w:r>
        <w:r>
          <w:instrText>PAGE   \* MERGEFORMAT</w:instrText>
        </w:r>
        <w:r>
          <w:fldChar w:fldCharType="separate"/>
        </w:r>
        <w:r w:rsidR="00C67C95">
          <w:rPr>
            <w:noProof/>
          </w:rPr>
          <w:t>4</w:t>
        </w:r>
        <w:r>
          <w:fldChar w:fldCharType="end"/>
        </w:r>
      </w:p>
    </w:sdtContent>
  </w:sdt>
  <w:p w:rsidR="00AF4B95" w:rsidRDefault="00ED69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24" w:rsidRDefault="00ED6924">
      <w:r>
        <w:separator/>
      </w:r>
    </w:p>
  </w:footnote>
  <w:footnote w:type="continuationSeparator" w:id="0">
    <w:p w:rsidR="00ED6924" w:rsidRDefault="00ED6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005DD"/>
    <w:multiLevelType w:val="hybridMultilevel"/>
    <w:tmpl w:val="B6F091D8"/>
    <w:lvl w:ilvl="0" w:tplc="D6C24D6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9216B73"/>
    <w:multiLevelType w:val="hybridMultilevel"/>
    <w:tmpl w:val="38D21A70"/>
    <w:lvl w:ilvl="0" w:tplc="ED26853A">
      <w:start w:val="4"/>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2"/>
    <w:rsid w:val="0004501A"/>
    <w:rsid w:val="000A376D"/>
    <w:rsid w:val="000C0C59"/>
    <w:rsid w:val="000D5BCC"/>
    <w:rsid w:val="000D61ED"/>
    <w:rsid w:val="000F6769"/>
    <w:rsid w:val="00136AF0"/>
    <w:rsid w:val="00150D4B"/>
    <w:rsid w:val="00177981"/>
    <w:rsid w:val="00245AE2"/>
    <w:rsid w:val="00247BA6"/>
    <w:rsid w:val="00301F36"/>
    <w:rsid w:val="00304D68"/>
    <w:rsid w:val="0034449D"/>
    <w:rsid w:val="00387840"/>
    <w:rsid w:val="00394320"/>
    <w:rsid w:val="003A389D"/>
    <w:rsid w:val="003C2328"/>
    <w:rsid w:val="003D69E8"/>
    <w:rsid w:val="003E1CE8"/>
    <w:rsid w:val="00437D73"/>
    <w:rsid w:val="00441E9A"/>
    <w:rsid w:val="00454FED"/>
    <w:rsid w:val="00476B01"/>
    <w:rsid w:val="00483860"/>
    <w:rsid w:val="00496698"/>
    <w:rsid w:val="004F592C"/>
    <w:rsid w:val="00556637"/>
    <w:rsid w:val="005C4D69"/>
    <w:rsid w:val="005C5ACA"/>
    <w:rsid w:val="005D1EC2"/>
    <w:rsid w:val="005F4927"/>
    <w:rsid w:val="00756AC3"/>
    <w:rsid w:val="00760ECD"/>
    <w:rsid w:val="00786D46"/>
    <w:rsid w:val="007A10CA"/>
    <w:rsid w:val="00802485"/>
    <w:rsid w:val="00831B58"/>
    <w:rsid w:val="009062A1"/>
    <w:rsid w:val="00912F4C"/>
    <w:rsid w:val="0097508C"/>
    <w:rsid w:val="00981860"/>
    <w:rsid w:val="0098333C"/>
    <w:rsid w:val="009C2C11"/>
    <w:rsid w:val="009C61B8"/>
    <w:rsid w:val="00A1462A"/>
    <w:rsid w:val="00A15A42"/>
    <w:rsid w:val="00A570A4"/>
    <w:rsid w:val="00A77132"/>
    <w:rsid w:val="00B06D89"/>
    <w:rsid w:val="00B524AA"/>
    <w:rsid w:val="00BF466F"/>
    <w:rsid w:val="00C03F25"/>
    <w:rsid w:val="00C40673"/>
    <w:rsid w:val="00C44932"/>
    <w:rsid w:val="00C54118"/>
    <w:rsid w:val="00C66905"/>
    <w:rsid w:val="00C67C95"/>
    <w:rsid w:val="00CB5760"/>
    <w:rsid w:val="00CD3DDC"/>
    <w:rsid w:val="00CF0A4E"/>
    <w:rsid w:val="00D63E60"/>
    <w:rsid w:val="00D74A35"/>
    <w:rsid w:val="00E40C58"/>
    <w:rsid w:val="00E77EA0"/>
    <w:rsid w:val="00E87112"/>
    <w:rsid w:val="00ED25B9"/>
    <w:rsid w:val="00ED6924"/>
    <w:rsid w:val="00F75A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7987"/>
  <w15:chartTrackingRefBased/>
  <w15:docId w15:val="{77615083-24C9-49EE-BBCE-4FC131A2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93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44932"/>
    <w:pPr>
      <w:spacing w:after="120" w:line="480" w:lineRule="auto"/>
    </w:pPr>
  </w:style>
  <w:style w:type="character" w:customStyle="1" w:styleId="20">
    <w:name w:val="Основний текст 2 Знак"/>
    <w:basedOn w:val="a0"/>
    <w:link w:val="2"/>
    <w:rsid w:val="00C44932"/>
    <w:rPr>
      <w:rFonts w:ascii="Times New Roman" w:eastAsia="Times New Roman" w:hAnsi="Times New Roman" w:cs="Times New Roman"/>
      <w:sz w:val="28"/>
      <w:szCs w:val="28"/>
      <w:lang w:eastAsia="ru-RU"/>
    </w:rPr>
  </w:style>
  <w:style w:type="paragraph" w:styleId="a3">
    <w:name w:val="footer"/>
    <w:basedOn w:val="a"/>
    <w:link w:val="a4"/>
    <w:uiPriority w:val="99"/>
    <w:unhideWhenUsed/>
    <w:rsid w:val="00C44932"/>
    <w:pPr>
      <w:tabs>
        <w:tab w:val="center" w:pos="4819"/>
        <w:tab w:val="right" w:pos="9639"/>
      </w:tabs>
    </w:pPr>
  </w:style>
  <w:style w:type="character" w:customStyle="1" w:styleId="a4">
    <w:name w:val="Нижній колонтитул Знак"/>
    <w:basedOn w:val="a0"/>
    <w:link w:val="a3"/>
    <w:uiPriority w:val="99"/>
    <w:rsid w:val="00C44932"/>
    <w:rPr>
      <w:rFonts w:ascii="Times New Roman" w:eastAsia="Times New Roman" w:hAnsi="Times New Roman" w:cs="Times New Roman"/>
      <w:sz w:val="28"/>
      <w:szCs w:val="28"/>
      <w:lang w:eastAsia="ru-RU"/>
    </w:rPr>
  </w:style>
  <w:style w:type="paragraph" w:styleId="a5">
    <w:name w:val="List Paragraph"/>
    <w:basedOn w:val="a"/>
    <w:uiPriority w:val="34"/>
    <w:qFormat/>
    <w:rsid w:val="00496698"/>
    <w:pPr>
      <w:widowControl w:val="0"/>
      <w:autoSpaceDE w:val="0"/>
      <w:autoSpaceDN w:val="0"/>
      <w:adjustRightInd w:val="0"/>
      <w:ind w:left="720"/>
      <w:contextualSpacing/>
    </w:pPr>
    <w:rPr>
      <w:rFonts w:eastAsia="Calibri"/>
      <w:sz w:val="20"/>
      <w:szCs w:val="20"/>
      <w:lang w:val="ru-RU"/>
    </w:rPr>
  </w:style>
  <w:style w:type="character" w:customStyle="1" w:styleId="rvts0">
    <w:name w:val="rvts0"/>
    <w:basedOn w:val="a0"/>
    <w:rsid w:val="00496698"/>
  </w:style>
  <w:style w:type="paragraph" w:styleId="a6">
    <w:name w:val="Balloon Text"/>
    <w:basedOn w:val="a"/>
    <w:link w:val="a7"/>
    <w:uiPriority w:val="99"/>
    <w:semiHidden/>
    <w:unhideWhenUsed/>
    <w:rsid w:val="00831B58"/>
    <w:rPr>
      <w:rFonts w:ascii="Segoe UI" w:hAnsi="Segoe UI" w:cs="Segoe UI"/>
      <w:sz w:val="18"/>
      <w:szCs w:val="18"/>
    </w:rPr>
  </w:style>
  <w:style w:type="character" w:customStyle="1" w:styleId="a7">
    <w:name w:val="Текст у виносці Знак"/>
    <w:basedOn w:val="a0"/>
    <w:link w:val="a6"/>
    <w:uiPriority w:val="99"/>
    <w:semiHidden/>
    <w:rsid w:val="00831B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4</Pages>
  <Words>5054</Words>
  <Characters>2881</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Каніковська Вероніка Олегівна</dc:creator>
  <cp:keywords/>
  <dc:description/>
  <cp:lastModifiedBy>Каніковська Вероніка Олегівна</cp:lastModifiedBy>
  <cp:revision>28</cp:revision>
  <cp:lastPrinted>2019-11-21T16:36:00Z</cp:lastPrinted>
  <dcterms:created xsi:type="dcterms:W3CDTF">2019-11-04T07:37:00Z</dcterms:created>
  <dcterms:modified xsi:type="dcterms:W3CDTF">2019-11-21T16:36:00Z</dcterms:modified>
</cp:coreProperties>
</file>