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D1" w:rsidRPr="00DA15D1" w:rsidRDefault="009F30A5" w:rsidP="00DA15D1">
      <w:pPr>
        <w:pStyle w:val="a3"/>
        <w:spacing w:before="0" w:after="120"/>
        <w:ind w:left="5812" w:firstLine="0"/>
        <w:rPr>
          <w:rFonts w:ascii="Times New Roman" w:hAnsi="Times New Roman"/>
          <w:b/>
          <w:sz w:val="28"/>
          <w:szCs w:val="28"/>
        </w:rPr>
      </w:pPr>
      <w:r>
        <w:rPr>
          <w:rFonts w:ascii="Times New Roman" w:hAnsi="Times New Roman"/>
          <w:b/>
          <w:sz w:val="28"/>
          <w:szCs w:val="28"/>
        </w:rPr>
        <w:t>Прое</w:t>
      </w:r>
      <w:r w:rsidR="009655B6" w:rsidRPr="00DA15D1">
        <w:rPr>
          <w:rFonts w:ascii="Times New Roman" w:hAnsi="Times New Roman"/>
          <w:b/>
          <w:sz w:val="28"/>
          <w:szCs w:val="28"/>
        </w:rPr>
        <w:t xml:space="preserve">кт вноситься </w:t>
      </w:r>
    </w:p>
    <w:p w:rsidR="00DA15D1" w:rsidRPr="00DA15D1" w:rsidRDefault="009655B6" w:rsidP="00DA15D1">
      <w:pPr>
        <w:pStyle w:val="a3"/>
        <w:spacing w:before="0" w:after="120"/>
        <w:ind w:left="5812" w:firstLine="0"/>
        <w:rPr>
          <w:rFonts w:ascii="Times New Roman" w:hAnsi="Times New Roman"/>
          <w:b/>
          <w:sz w:val="28"/>
          <w:szCs w:val="28"/>
        </w:rPr>
      </w:pPr>
      <w:r w:rsidRPr="00DA15D1">
        <w:rPr>
          <w:rFonts w:ascii="Times New Roman" w:hAnsi="Times New Roman"/>
          <w:b/>
          <w:sz w:val="28"/>
          <w:szCs w:val="28"/>
        </w:rPr>
        <w:t xml:space="preserve">народним депутатом України </w:t>
      </w:r>
    </w:p>
    <w:p w:rsidR="009655B6" w:rsidRPr="00DA15D1" w:rsidRDefault="009655B6" w:rsidP="00DA15D1">
      <w:pPr>
        <w:pStyle w:val="a3"/>
        <w:spacing w:before="0" w:after="120"/>
        <w:ind w:left="5812" w:firstLine="0"/>
        <w:rPr>
          <w:rFonts w:ascii="Times New Roman" w:hAnsi="Times New Roman"/>
          <w:b/>
          <w:sz w:val="28"/>
          <w:szCs w:val="28"/>
        </w:rPr>
      </w:pPr>
      <w:r w:rsidRPr="00DA15D1">
        <w:rPr>
          <w:rFonts w:ascii="Times New Roman" w:hAnsi="Times New Roman"/>
          <w:b/>
          <w:sz w:val="28"/>
          <w:szCs w:val="28"/>
        </w:rPr>
        <w:t>Камельчуком Ю.О.</w:t>
      </w:r>
    </w:p>
    <w:p w:rsidR="00040A50" w:rsidRDefault="00040A50">
      <w:pPr>
        <w:pStyle w:val="a3"/>
        <w:spacing w:before="0" w:after="120"/>
        <w:ind w:firstLine="0"/>
        <w:rPr>
          <w:rFonts w:ascii="Times New Roman" w:hAnsi="Times New Roman"/>
          <w:i/>
          <w:sz w:val="28"/>
          <w:szCs w:val="28"/>
        </w:rPr>
      </w:pPr>
    </w:p>
    <w:p w:rsidR="007359D4" w:rsidRPr="00DA15D1" w:rsidRDefault="007359D4">
      <w:pPr>
        <w:pStyle w:val="a3"/>
        <w:spacing w:before="0" w:after="120"/>
        <w:ind w:firstLine="0"/>
        <w:rPr>
          <w:rFonts w:ascii="Times New Roman" w:hAnsi="Times New Roman"/>
          <w:i/>
          <w:sz w:val="28"/>
          <w:szCs w:val="28"/>
        </w:rPr>
      </w:pPr>
    </w:p>
    <w:p w:rsidR="00040A50" w:rsidRPr="00DA15D1" w:rsidRDefault="00267B32">
      <w:pPr>
        <w:pStyle w:val="a3"/>
        <w:spacing w:before="0" w:after="120"/>
        <w:ind w:firstLine="0"/>
        <w:jc w:val="center"/>
        <w:rPr>
          <w:rFonts w:ascii="Times New Roman" w:hAnsi="Times New Roman"/>
          <w:b/>
          <w:i/>
          <w:sz w:val="36"/>
          <w:szCs w:val="36"/>
        </w:rPr>
      </w:pPr>
      <w:r w:rsidRPr="00DA15D1">
        <w:rPr>
          <w:rFonts w:ascii="Times New Roman" w:hAnsi="Times New Roman"/>
          <w:b/>
          <w:i/>
          <w:sz w:val="36"/>
          <w:szCs w:val="36"/>
        </w:rPr>
        <w:t>ЗАКОН УКРАЇНИ</w:t>
      </w:r>
    </w:p>
    <w:p w:rsidR="00040A50" w:rsidRPr="00DA15D1" w:rsidRDefault="00040A50">
      <w:pPr>
        <w:pStyle w:val="a3"/>
        <w:spacing w:before="0" w:after="120"/>
        <w:ind w:firstLine="0"/>
        <w:jc w:val="center"/>
        <w:rPr>
          <w:rFonts w:ascii="Times New Roman" w:hAnsi="Times New Roman"/>
          <w:b/>
          <w:sz w:val="28"/>
          <w:szCs w:val="28"/>
        </w:rPr>
      </w:pPr>
    </w:p>
    <w:p w:rsidR="00040A50" w:rsidRPr="009F30A5" w:rsidRDefault="00267B32">
      <w:pPr>
        <w:pStyle w:val="a3"/>
        <w:spacing w:before="0" w:after="120"/>
        <w:ind w:firstLine="0"/>
        <w:jc w:val="center"/>
        <w:rPr>
          <w:rFonts w:ascii="Times New Roman" w:hAnsi="Times New Roman"/>
          <w:b/>
          <w:sz w:val="28"/>
          <w:szCs w:val="28"/>
        </w:rPr>
      </w:pPr>
      <w:r w:rsidRPr="00DA15D1">
        <w:rPr>
          <w:rFonts w:ascii="Times New Roman" w:hAnsi="Times New Roman"/>
          <w:b/>
          <w:sz w:val="28"/>
          <w:szCs w:val="28"/>
        </w:rPr>
        <w:t xml:space="preserve">про внесення змін до Закону України </w:t>
      </w:r>
      <w:r w:rsidR="009F30A5" w:rsidRPr="009F30A5">
        <w:rPr>
          <w:rFonts w:ascii="Times New Roman" w:hAnsi="Times New Roman"/>
          <w:b/>
        </w:rPr>
        <w:t>«Про ринок електричної енергії</w:t>
      </w:r>
      <w:bookmarkStart w:id="0" w:name="_GoBack"/>
      <w:r w:rsidR="0007281D">
        <w:rPr>
          <w:rFonts w:ascii="Times New Roman" w:hAnsi="Times New Roman"/>
          <w:b/>
        </w:rPr>
        <w:t>»</w:t>
      </w:r>
      <w:bookmarkEnd w:id="0"/>
      <w:r w:rsidR="009F30A5" w:rsidRPr="009F30A5">
        <w:rPr>
          <w:rFonts w:ascii="Times New Roman" w:hAnsi="Times New Roman"/>
          <w:b/>
        </w:rPr>
        <w:t xml:space="preserve"> (щодо енергетичної безпеки, балансування енергосистеми та системи накопичення енергії)»</w:t>
      </w:r>
      <w:r w:rsidR="009F30A5" w:rsidRPr="009F30A5">
        <w:rPr>
          <w:rFonts w:ascii="Times New Roman" w:hAnsi="Times New Roman"/>
          <w:b/>
          <w:spacing w:val="-2"/>
        </w:rPr>
        <w:t>.</w:t>
      </w:r>
    </w:p>
    <w:p w:rsidR="00040A50" w:rsidRPr="00DA15D1" w:rsidRDefault="00267B32">
      <w:pPr>
        <w:pStyle w:val="a3"/>
        <w:spacing w:before="0" w:after="120"/>
        <w:ind w:firstLine="0"/>
        <w:jc w:val="center"/>
        <w:rPr>
          <w:rFonts w:ascii="Times New Roman" w:hAnsi="Times New Roman"/>
          <w:sz w:val="28"/>
          <w:szCs w:val="28"/>
        </w:rPr>
      </w:pPr>
      <w:r w:rsidRPr="00DA15D1">
        <w:rPr>
          <w:rFonts w:ascii="Times New Roman" w:hAnsi="Times New Roman"/>
          <w:sz w:val="28"/>
          <w:szCs w:val="28"/>
        </w:rPr>
        <w:t>__________________________________________</w:t>
      </w:r>
    </w:p>
    <w:p w:rsidR="00040A50" w:rsidRPr="00DA15D1" w:rsidRDefault="00040A50">
      <w:pPr>
        <w:pStyle w:val="a3"/>
        <w:spacing w:before="0" w:after="120"/>
        <w:ind w:firstLine="0"/>
        <w:jc w:val="center"/>
        <w:rPr>
          <w:rFonts w:ascii="Times New Roman" w:hAnsi="Times New Roman"/>
          <w:sz w:val="28"/>
          <w:szCs w:val="28"/>
        </w:rPr>
      </w:pPr>
    </w:p>
    <w:p w:rsidR="00040A50" w:rsidRPr="00DA15D1" w:rsidRDefault="00040A50">
      <w:pPr>
        <w:pStyle w:val="a3"/>
        <w:spacing w:before="0" w:after="120"/>
        <w:ind w:firstLine="709"/>
        <w:rPr>
          <w:rFonts w:ascii="Times New Roman" w:hAnsi="Times New Roman"/>
          <w:sz w:val="28"/>
          <w:szCs w:val="28"/>
        </w:rPr>
      </w:pPr>
    </w:p>
    <w:p w:rsidR="00040A50" w:rsidRPr="00DA15D1" w:rsidRDefault="00267B32">
      <w:pPr>
        <w:pStyle w:val="a3"/>
        <w:spacing w:before="0" w:after="120"/>
        <w:ind w:firstLine="709"/>
        <w:rPr>
          <w:rFonts w:ascii="Times New Roman" w:hAnsi="Times New Roman"/>
          <w:sz w:val="28"/>
          <w:szCs w:val="28"/>
        </w:rPr>
      </w:pPr>
      <w:r w:rsidRPr="00DA15D1">
        <w:rPr>
          <w:rFonts w:ascii="Times New Roman" w:hAnsi="Times New Roman"/>
          <w:sz w:val="28"/>
          <w:szCs w:val="28"/>
        </w:rPr>
        <w:t>Верховна Рада України  п о с т а н о в л я є:</w:t>
      </w:r>
    </w:p>
    <w:p w:rsidR="00040A50" w:rsidRPr="00DA15D1" w:rsidRDefault="00040A50">
      <w:pPr>
        <w:pStyle w:val="a3"/>
        <w:spacing w:before="0" w:after="120"/>
        <w:ind w:firstLine="709"/>
        <w:rPr>
          <w:rFonts w:ascii="Times New Roman" w:hAnsi="Times New Roman"/>
          <w:sz w:val="28"/>
          <w:szCs w:val="28"/>
        </w:rPr>
      </w:pPr>
    </w:p>
    <w:p w:rsidR="00040A50" w:rsidRPr="00DA15D1" w:rsidRDefault="00267B32">
      <w:pPr>
        <w:pStyle w:val="a3"/>
        <w:spacing w:before="0" w:after="120"/>
        <w:ind w:firstLine="709"/>
        <w:rPr>
          <w:rFonts w:ascii="Times New Roman" w:hAnsi="Times New Roman"/>
          <w:sz w:val="28"/>
          <w:szCs w:val="28"/>
        </w:rPr>
      </w:pPr>
      <w:bookmarkStart w:id="1" w:name="_Hlk26781521"/>
      <w:r w:rsidRPr="00DA15D1">
        <w:rPr>
          <w:rFonts w:ascii="Times New Roman" w:hAnsi="Times New Roman"/>
          <w:sz w:val="28"/>
          <w:szCs w:val="28"/>
        </w:rPr>
        <w:t>І. Внести до Закону України «Про ринок електричної енергії» (Відомості Верховної Ради України, 2017 р., № 27-28, ст. 312) такі зміни:</w:t>
      </w:r>
    </w:p>
    <w:bookmarkEnd w:id="1"/>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1. В частині першій статті 1:</w:t>
      </w:r>
    </w:p>
    <w:p w:rsidR="00040A50" w:rsidRPr="00DA15D1" w:rsidRDefault="00040A50">
      <w:pPr>
        <w:pStyle w:val="a3"/>
        <w:spacing w:before="0"/>
        <w:ind w:firstLine="709"/>
        <w:rPr>
          <w:rFonts w:ascii="Times New Roman" w:hAnsi="Times New Roman"/>
          <w:sz w:val="28"/>
          <w:szCs w:val="28"/>
        </w:rPr>
      </w:pP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1) викласти пункт 63 в такій редакції:</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«63) послуга із забезпечення розвитку генеруючої (накопичувальної) потужності та системи накопичення енергії – заходи з будівництва нової чи реконструкції (модернізації) наявної потужності з генерації, т.ч. накопичення енергії, що здійснюються учасниками ринку, визначеними за результатами конкурсу, проведеного відповідно до цього Закону;»;</w:t>
      </w:r>
    </w:p>
    <w:p w:rsidR="00040A50" w:rsidRPr="00DA15D1" w:rsidRDefault="00040A50">
      <w:pPr>
        <w:pStyle w:val="a3"/>
        <w:spacing w:before="0"/>
        <w:ind w:firstLine="709"/>
        <w:rPr>
          <w:rFonts w:ascii="Times New Roman" w:hAnsi="Times New Roman"/>
          <w:sz w:val="28"/>
          <w:szCs w:val="28"/>
        </w:rPr>
      </w:pP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2) викласти пункт 96 в такій редакції:</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«96) учасник ринку електричної енергії (далі - учасник ринку) – виробник, електропостачальник, трейдер, оператор системи передачі, оператор системи розподілу, оператор ринку, гарантований покупець, оператор системи накопичення електричної енергії та споживач, які провадять свою діяльність на ринку електричної енергії у порядку, передбаченому цим Законом;».</w:t>
      </w:r>
    </w:p>
    <w:p w:rsidR="00040A50" w:rsidRPr="00DA15D1" w:rsidRDefault="00040A50">
      <w:pPr>
        <w:pStyle w:val="a3"/>
        <w:spacing w:before="0" w:after="120"/>
        <w:ind w:firstLine="709"/>
        <w:rPr>
          <w:rFonts w:ascii="Times New Roman" w:hAnsi="Times New Roman"/>
          <w:sz w:val="28"/>
          <w:szCs w:val="28"/>
        </w:rPr>
      </w:pP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3) доповнити підпунктами 98, 99 наступного змісту:</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«98) система накопичення енергії (Energy storage technologies) (СНЕ) - технологічний комплекс, приєднаний до системи передачі чи розподілу з метою відбору, накопичення, у тому числі, шляхом перетворення (фізичні, інерційні, хімічні, водневі та інші технології) раніше виробленої електричної енергії, її зберігання та подальшого відпуску;</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lastRenderedPageBreak/>
        <w:t>99) оператор системи накопичення енергії (оператор СНЕ) - суб’єкт господарювання, який використовує систему накопичення електричної енергії для купівлі-продажу електричної енергії на ринку електричної енергії, та надає допоміжні послуги і є відповідальним за безпечну експлуатацію та технічне обслуговування такої системи накопичення енергії;»;</w:t>
      </w:r>
    </w:p>
    <w:p w:rsidR="00040A50" w:rsidRPr="00DA15D1" w:rsidRDefault="00040A50">
      <w:pPr>
        <w:pStyle w:val="a3"/>
        <w:spacing w:before="0"/>
        <w:ind w:firstLine="708"/>
        <w:rPr>
          <w:rFonts w:ascii="Times New Roman" w:hAnsi="Times New Roman"/>
          <w:sz w:val="28"/>
          <w:szCs w:val="28"/>
        </w:rPr>
      </w:pP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2. в статті 8 слова «виробництво» замінити на «виробництво та накопичення»</w:t>
      </w:r>
    </w:p>
    <w:p w:rsidR="00040A50" w:rsidRPr="00DA15D1" w:rsidRDefault="00040A50">
      <w:pPr>
        <w:pStyle w:val="a3"/>
        <w:spacing w:before="0"/>
        <w:ind w:firstLine="708"/>
        <w:rPr>
          <w:rFonts w:ascii="Times New Roman" w:hAnsi="Times New Roman"/>
          <w:sz w:val="28"/>
          <w:szCs w:val="28"/>
        </w:rPr>
      </w:pP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3. В статті 29:</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1) після слів «будівництво генеруючої» назву статті доповнити словами «та накопичувальної»</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2) абзац перший частини першої після слів «попиту на електричну енергію» доповнити словами «та забезпечення необхідного резерву»;</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3) абзац другий частини першої після слів «визначається на основі» доповнити словами «висновків та пропозицій оператора системи передачі після затвердження Регулятором звіту з»; слова «за результатами» замінити на «та результатів».</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4) частину другу після абзацу першого доповнити новими абзацами такого змісту:</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«При розробленні умов проведення Конкурсу на будівництво генеруючої потужності та системи накопичення енергії центральний орган виконавчої влади, що забезпечує формування та реалізацію державної політики в електроенергетичному комплексі може звернутись до Регулятора із запитом  щодо надання пропозиції граничної  ціни закупівлі послуги із забезпечення розвитку генеруючої та/або накопичувальної потужності відповідно до умов конкурсної документації, а також щодо мінімального терміну оплати послуги. Регулятор має надати таку інформацію</w:t>
      </w:r>
      <w:r w:rsidRPr="00DA15D1">
        <w:rPr>
          <w:rFonts w:ascii="Times New Roman" w:hAnsi="Times New Roman"/>
          <w:sz w:val="28"/>
        </w:rPr>
        <w:t xml:space="preserve"> </w:t>
      </w:r>
      <w:r w:rsidRPr="00DA15D1">
        <w:rPr>
          <w:rFonts w:ascii="Times New Roman" w:hAnsi="Times New Roman"/>
          <w:sz w:val="28"/>
          <w:szCs w:val="28"/>
        </w:rPr>
        <w:t xml:space="preserve">протягом десяти робочих днів з дня отримання такого запиту. </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Регулятор за результатами проведення конкурсу на будівництво генеруючої потужності та/або системи накопичення енергії передбачає в тарифі на передачу електричної енергії оператору системи передачі витрати на забезпечення спеціальних обов'язків із забезпечення розвитку генеруючих та накопичувальних (акумулюючих) потужностей.»;</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4) абзац шостий частини шостої після слів «розвитку генеруючої потужності» доповнити словами «та систем накопичення енергії»;</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5) після абзацу шостого частини шостої додати новий абзац такого змісту:</w:t>
      </w: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«Придбання послуги із забезпечення розвитку генеруючої потужності систем накопичення енергії здійснюються на підставі договору, укладеного відповідно до умов, визначених за результатами конкурсу.»</w:t>
      </w: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У зв'язку з цим абзац сьомий відповідно вважати абзацом восьмим.</w:t>
      </w: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6) абзац восьмий частини шостої після слів «розвитку генеруючої потужності» доповнити словами «систем накопичення енергії», після слів «нових генеруючих потужностей» доповнити словами «та/або систем накопичення енергії»;</w:t>
      </w: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 xml:space="preserve">7) абзац перший частини восьмої перед словами «Моніторинг виконання інвестором зобов‘язань» доповнити словами «Укладення договору з переможцем </w:t>
      </w:r>
      <w:r w:rsidRPr="00DA15D1">
        <w:rPr>
          <w:rFonts w:ascii="Times New Roman" w:hAnsi="Times New Roman"/>
          <w:sz w:val="28"/>
          <w:szCs w:val="28"/>
        </w:rPr>
        <w:lastRenderedPageBreak/>
        <w:t xml:space="preserve">конкурсу та», після слів «розвитку генеруючої» доповнити словом «(накопичувальної)». </w:t>
      </w:r>
    </w:p>
    <w:p w:rsidR="00040A50" w:rsidRPr="00DA15D1" w:rsidRDefault="00040A50">
      <w:pPr>
        <w:pStyle w:val="a8"/>
        <w:spacing w:before="120"/>
        <w:ind w:left="0" w:firstLine="709"/>
        <w:jc w:val="both"/>
        <w:rPr>
          <w:rFonts w:ascii="Times New Roman" w:hAnsi="Times New Roman"/>
          <w:sz w:val="28"/>
          <w:szCs w:val="28"/>
        </w:rPr>
      </w:pPr>
    </w:p>
    <w:p w:rsidR="00040A50" w:rsidRPr="00DA15D1" w:rsidRDefault="00267B32">
      <w:pPr>
        <w:pStyle w:val="a8"/>
        <w:spacing w:before="120"/>
        <w:ind w:left="0" w:firstLine="709"/>
        <w:jc w:val="both"/>
        <w:rPr>
          <w:rFonts w:ascii="Times New Roman" w:hAnsi="Times New Roman"/>
          <w:sz w:val="28"/>
          <w:szCs w:val="28"/>
        </w:rPr>
      </w:pPr>
      <w:r w:rsidRPr="00DA15D1">
        <w:rPr>
          <w:rFonts w:ascii="Times New Roman" w:hAnsi="Times New Roman"/>
          <w:sz w:val="28"/>
          <w:szCs w:val="28"/>
        </w:rPr>
        <w:t>4. Після статті 30 доповнити новим розділом «ІV-1 НАКОПИЧЕННЯ» та новою статтею 30</w:t>
      </w:r>
      <w:r w:rsidRPr="00DA15D1">
        <w:rPr>
          <w:rFonts w:ascii="Times New Roman" w:hAnsi="Times New Roman"/>
          <w:sz w:val="28"/>
          <w:szCs w:val="28"/>
          <w:vertAlign w:val="superscript"/>
        </w:rPr>
        <w:t>1</w:t>
      </w:r>
      <w:r w:rsidRPr="00DA15D1">
        <w:rPr>
          <w:rFonts w:ascii="Times New Roman" w:hAnsi="Times New Roman"/>
          <w:sz w:val="28"/>
          <w:szCs w:val="28"/>
        </w:rPr>
        <w:t xml:space="preserve"> наступного змісту: </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«Стаття 30</w:t>
      </w:r>
      <w:r w:rsidRPr="00DA15D1">
        <w:rPr>
          <w:rFonts w:ascii="Times New Roman" w:hAnsi="Times New Roman"/>
          <w:sz w:val="28"/>
          <w:szCs w:val="28"/>
          <w:vertAlign w:val="superscript"/>
        </w:rPr>
        <w:t>1</w:t>
      </w:r>
      <w:r w:rsidRPr="00DA15D1">
        <w:rPr>
          <w:rFonts w:ascii="Times New Roman" w:hAnsi="Times New Roman"/>
          <w:sz w:val="28"/>
          <w:szCs w:val="28"/>
        </w:rPr>
        <w:t>. Оператор системи накопичення енергії</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До системи накопичення енергії входить природна чи штучна ємність і технологічно поєднані з нею конструктивні елементи (у тому числі будівлі, споруди), призначені для процесів відбирання, накопичення (перетворення), зберігання та вивільнення електроенергії.</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Діяльність оператора системи накопичення енергії підлягає ліцензуванню;</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Ліцензуванню підлягає оператор системи накопичення енергії потужність системи (систем) накопичення енергії якого більше 5 Мвт.</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 xml:space="preserve">Оператор СНЕ отримує електроенергію для потреб СНЕ на тих самих підставах, що й інші виробники в обсягах, що не перевищують власне споживання СНЕ. Особливості купівлі та продажу електричної енергії оператором системи накопичення енергії, потужність та/або обсяг відпуску якого менше за граничні показники визначені цим Законом, визначаються Правилами ринку. </w:t>
      </w:r>
    </w:p>
    <w:p w:rsidR="00040A50" w:rsidRPr="00DA15D1" w:rsidRDefault="00267B32">
      <w:pPr>
        <w:pStyle w:val="a3"/>
        <w:spacing w:before="0"/>
        <w:ind w:firstLine="709"/>
        <w:rPr>
          <w:rFonts w:ascii="Times New Roman" w:hAnsi="Times New Roman"/>
          <w:sz w:val="28"/>
          <w:szCs w:val="28"/>
        </w:rPr>
      </w:pPr>
      <w:r w:rsidRPr="00DA15D1">
        <w:rPr>
          <w:rFonts w:ascii="Times New Roman" w:hAnsi="Times New Roman"/>
          <w:sz w:val="28"/>
          <w:szCs w:val="28"/>
        </w:rPr>
        <w:t>Від оператора системи передачі, ліцензованого виробника, оператора системи розподілу не вимагається додаткової ліцензії для експлуатації системи накопичення енергії.</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 xml:space="preserve">Забороняється поєднувати діяльність оператора системи накопичення з діяльністю гарантованого покупця, оператора ринку, оператора системи передач та оператора системи розподілу, крім випадків, прямо передбачених цим законом. Участь оператора системи накопичення енергії в ринку електричної енергії здійснюється відповідно до положень частин </w:t>
      </w:r>
      <w:r w:rsidRPr="00DA15D1">
        <w:rPr>
          <w:rFonts w:ascii="Times New Roman" w:hAnsi="Times New Roman"/>
          <w:sz w:val="28"/>
        </w:rPr>
        <w:t xml:space="preserve">3-5 </w:t>
      </w:r>
      <w:r w:rsidRPr="00DA15D1">
        <w:rPr>
          <w:rFonts w:ascii="Times New Roman" w:hAnsi="Times New Roman"/>
          <w:sz w:val="28"/>
          <w:szCs w:val="28"/>
        </w:rPr>
        <w:t>статті 30 та статті 55 цього Закону; оператор СНЕ зобов’язаний не пізніше, ніж за 90 календарних днів попередити оператора відповідного ринку про закінчення експлуатації СНЕ.</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Оператор системи накопичення енергії зобов‘язаний брати участь у балансуючому ринку відповідно до статті 68 цього Закону, а також брати участь у ринку допоміжних послуг та надавати допоміжні послуги відповідно до статті 69 цього Закону.</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Оператор системи накопичення енергії продає електричну енергію на ринку електричної енергії та надає допоміжні послуги відповідно до положень цього Закону, правил ринку, інших нормативно-правових актів, що регулюють функціонування ринку електричної енергії.».</w:t>
      </w:r>
    </w:p>
    <w:p w:rsidR="00040A50" w:rsidRPr="00DA15D1" w:rsidRDefault="00040A50">
      <w:pPr>
        <w:pStyle w:val="a3"/>
        <w:spacing w:before="0"/>
        <w:ind w:firstLine="708"/>
        <w:rPr>
          <w:rFonts w:ascii="Times New Roman" w:hAnsi="Times New Roman"/>
          <w:sz w:val="28"/>
          <w:szCs w:val="28"/>
        </w:rPr>
      </w:pPr>
    </w:p>
    <w:p w:rsidR="00040A50" w:rsidRPr="00DA15D1" w:rsidRDefault="00267B32">
      <w:pPr>
        <w:pStyle w:val="a3"/>
        <w:spacing w:before="0"/>
        <w:rPr>
          <w:rFonts w:ascii="Times New Roman" w:hAnsi="Times New Roman"/>
          <w:sz w:val="28"/>
          <w:szCs w:val="28"/>
        </w:rPr>
      </w:pPr>
      <w:r w:rsidRPr="00DA15D1">
        <w:rPr>
          <w:rFonts w:ascii="Times New Roman" w:hAnsi="Times New Roman"/>
          <w:sz w:val="28"/>
          <w:szCs w:val="28"/>
        </w:rPr>
        <w:t>5. Статтю 31 доповнити частиною четвертою наступного змісту:</w:t>
      </w:r>
    </w:p>
    <w:p w:rsidR="00040A50" w:rsidRPr="00DA15D1" w:rsidRDefault="00267B32">
      <w:pPr>
        <w:jc w:val="both"/>
        <w:rPr>
          <w:rFonts w:ascii="Times New Roman" w:hAnsi="Times New Roman"/>
          <w:sz w:val="28"/>
          <w:szCs w:val="28"/>
        </w:rPr>
      </w:pPr>
      <w:r w:rsidRPr="00DA15D1">
        <w:rPr>
          <w:rFonts w:ascii="Times New Roman" w:hAnsi="Times New Roman"/>
          <w:sz w:val="28"/>
          <w:szCs w:val="28"/>
        </w:rPr>
        <w:t xml:space="preserve"> « 4. Оператор системи передачі не може бути оператором системи накопичення енергії з урахуванням, однак, винятку, передбаченого цією статтею. Оператор системи передачі має право здійснювати експлуатацію системи накопичення енергії загальною потужністю до 250 МВт у випадках, коли такі пропозиція таких послуг відсутня на ринку та виключно з метою надання послуг з диспетчеризації, зокрема для забезпечення операційної безпеки, забезпечення </w:t>
      </w:r>
      <w:r w:rsidRPr="00DA15D1">
        <w:rPr>
          <w:rFonts w:ascii="Times New Roman" w:hAnsi="Times New Roman"/>
          <w:sz w:val="28"/>
          <w:szCs w:val="28"/>
        </w:rPr>
        <w:lastRenderedPageBreak/>
        <w:t xml:space="preserve">балансування та інших заходів, спрямованих на виконання вимог цілісності системи передачі. </w:t>
      </w:r>
    </w:p>
    <w:p w:rsidR="00040A50" w:rsidRPr="00DA15D1" w:rsidRDefault="00040A50">
      <w:pPr>
        <w:pStyle w:val="a3"/>
        <w:spacing w:before="0"/>
        <w:ind w:firstLine="0"/>
        <w:rPr>
          <w:rFonts w:ascii="Times New Roman" w:hAnsi="Times New Roman"/>
          <w:sz w:val="28"/>
          <w:szCs w:val="28"/>
        </w:rPr>
      </w:pP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6. В статті 33:</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1) викласти пункт 8 частини першої в такій редакції:</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«8) забезпечує операційну безпеку ОЕС України, у тому числі шляхом активації системи накопичення електричної енергії;</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2) після пункту 24 частини першої доповнити новим пунктом 25 наступного змісту:</w:t>
      </w: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«25) Оператор системи передачі зобов’язаний щорічно надавати Регулятору звіт щодо випадків забезпечення операційної безпеки ОЕС України шляхом активації системи накопичення електричної енергії.»;</w:t>
      </w: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3) абзац другий частини п‘ятої  після слів «ОЕС України» доповнити словами «та на плату за послугу із забезпечення розвитку генеруючої потужності та систем накопичення енергії.».</w:t>
      </w:r>
    </w:p>
    <w:p w:rsidR="00040A50" w:rsidRPr="00DA15D1" w:rsidRDefault="00040A50">
      <w:pPr>
        <w:pStyle w:val="a3"/>
        <w:spacing w:before="0"/>
        <w:ind w:firstLine="708"/>
        <w:rPr>
          <w:rFonts w:ascii="Times New Roman" w:hAnsi="Times New Roman"/>
          <w:sz w:val="28"/>
          <w:szCs w:val="28"/>
        </w:rPr>
      </w:pP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7. Статтю 45 доповнити частиною четвертою наступного змісту:</w:t>
      </w:r>
    </w:p>
    <w:p w:rsidR="00040A50" w:rsidRPr="00DA15D1" w:rsidRDefault="00267B32">
      <w:pPr>
        <w:ind w:firstLine="244"/>
        <w:jc w:val="both"/>
        <w:rPr>
          <w:rFonts w:ascii="Times New Roman" w:hAnsi="Times New Roman"/>
          <w:sz w:val="28"/>
          <w:szCs w:val="28"/>
        </w:rPr>
      </w:pPr>
      <w:r w:rsidRPr="00DA15D1">
        <w:rPr>
          <w:rFonts w:ascii="Times New Roman" w:hAnsi="Times New Roman"/>
          <w:b/>
          <w:sz w:val="24"/>
          <w:szCs w:val="24"/>
        </w:rPr>
        <w:t>«</w:t>
      </w:r>
      <w:r w:rsidRPr="00DA15D1">
        <w:rPr>
          <w:rFonts w:ascii="Times New Roman" w:hAnsi="Times New Roman"/>
          <w:sz w:val="28"/>
          <w:szCs w:val="28"/>
        </w:rPr>
        <w:t xml:space="preserve">4. Оператор системи розподілу не може бути оператором системи накопичення енергії. Оператору системи розподілу дозволяється без погодження з Регулятором використовувати системи накопичення енергії загальною потужністю до 20 МВт та лише з метою надання послуг з розподілу електричної енергії, зокрема для забезпечення операційної безпеки системи розподілу чи інших заходів, спрямованих на виконання вимог цілісності системи розподілу. При цьому не вимагається отримання оператором системи розподілу додаткової ліцензії для експлуатації систем накопичення енергії. Загальна потужність систем накопичення енергії, яка може використовуватися оператором системи розподілу, може бути збільшена за зверненням оператора системи розподілу на підставі відповідного рішення Регулятора у відповідності до затвердженого Регулятором порядку. </w:t>
      </w:r>
    </w:p>
    <w:p w:rsidR="00040A50" w:rsidRPr="00DA15D1" w:rsidRDefault="00267B32">
      <w:pPr>
        <w:ind w:firstLine="244"/>
        <w:jc w:val="both"/>
        <w:rPr>
          <w:rFonts w:ascii="Times New Roman" w:hAnsi="Times New Roman"/>
          <w:sz w:val="28"/>
          <w:szCs w:val="28"/>
        </w:rPr>
      </w:pPr>
      <w:r w:rsidRPr="00DA15D1">
        <w:rPr>
          <w:rFonts w:ascii="Times New Roman" w:hAnsi="Times New Roman"/>
          <w:sz w:val="28"/>
          <w:szCs w:val="28"/>
        </w:rPr>
        <w:t>На оператора системи розподілу при будівництві нової та/або проведенні реконструкції (модернізації) діючої системи накопичення енергії не поширюються положення статті 29 цього Закону.».</w:t>
      </w:r>
    </w:p>
    <w:p w:rsidR="00040A50" w:rsidRPr="00DA15D1" w:rsidRDefault="00040A50">
      <w:pPr>
        <w:ind w:firstLine="709"/>
        <w:jc w:val="both"/>
        <w:rPr>
          <w:rFonts w:ascii="Times New Roman" w:hAnsi="Times New Roman"/>
          <w:sz w:val="28"/>
          <w:szCs w:val="28"/>
        </w:rPr>
      </w:pP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8. Частину п‘яту статті 68 після абзацу четвертого доповнити новим абзацом такого змісту:</w:t>
      </w:r>
    </w:p>
    <w:p w:rsidR="00040A50" w:rsidRPr="00DA15D1" w:rsidRDefault="00267B32">
      <w:pPr>
        <w:pStyle w:val="StyleZakonu0"/>
        <w:spacing w:after="0" w:line="240" w:lineRule="auto"/>
        <w:ind w:firstLine="709"/>
        <w:contextualSpacing/>
      </w:pPr>
      <w:r w:rsidRPr="00DA15D1">
        <w:rPr>
          <w:sz w:val="28"/>
          <w:szCs w:val="28"/>
        </w:rPr>
        <w:t>«</w:t>
      </w:r>
      <w:r w:rsidRPr="00DA15D1">
        <w:rPr>
          <w:sz w:val="28"/>
        </w:rPr>
        <w:t>Оператор системи передачі забезпечує окремий облік електричної енергії, перетікання якої здійснено до системи накопичення електричної енергії з фіксацією даних.».</w:t>
      </w:r>
    </w:p>
    <w:p w:rsidR="00040A50" w:rsidRPr="00DA15D1" w:rsidRDefault="00040A50">
      <w:pPr>
        <w:ind w:firstLine="709"/>
        <w:jc w:val="both"/>
        <w:rPr>
          <w:rFonts w:ascii="Times New Roman" w:hAnsi="Times New Roman"/>
          <w:sz w:val="28"/>
          <w:szCs w:val="28"/>
        </w:rPr>
      </w:pP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9. В статті 46:</w:t>
      </w:r>
    </w:p>
    <w:p w:rsidR="00040A50" w:rsidRPr="00DA15D1" w:rsidRDefault="00267B32">
      <w:pPr>
        <w:ind w:firstLine="709"/>
        <w:jc w:val="both"/>
        <w:rPr>
          <w:rFonts w:ascii="Times New Roman" w:hAnsi="Times New Roman"/>
          <w:sz w:val="28"/>
          <w:szCs w:val="28"/>
        </w:rPr>
      </w:pPr>
      <w:r w:rsidRPr="00DA15D1">
        <w:rPr>
          <w:rFonts w:ascii="Times New Roman" w:hAnsi="Times New Roman"/>
          <w:sz w:val="28"/>
          <w:szCs w:val="28"/>
        </w:rPr>
        <w:t>пункт 4 частини першої після слів «можливостей використання розподіленої генерації» доповнити словами «та систем накопичення енергії».</w:t>
      </w:r>
    </w:p>
    <w:p w:rsidR="00040A50" w:rsidRPr="00DA15D1" w:rsidRDefault="00040A50">
      <w:pPr>
        <w:pStyle w:val="a3"/>
        <w:spacing w:before="0"/>
        <w:ind w:firstLine="708"/>
        <w:rPr>
          <w:rFonts w:ascii="Times New Roman" w:hAnsi="Times New Roman"/>
          <w:sz w:val="28"/>
          <w:szCs w:val="28"/>
        </w:rPr>
      </w:pP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10. В статті 62:</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1) пункт 4 частини другої після слів «забезпечення розвитку генеруючих потужностей» доповнити словами «та систем накопичення енергії»;</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 xml:space="preserve">2) частину другу після абзацу сьомого доповнити новим абзацом такого змісту: </w:t>
      </w:r>
    </w:p>
    <w:p w:rsidR="00040A50" w:rsidRPr="00DA15D1" w:rsidRDefault="00267B32">
      <w:pPr>
        <w:pStyle w:val="a3"/>
        <w:spacing w:before="0"/>
        <w:ind w:firstLine="708"/>
        <w:rPr>
          <w:rFonts w:ascii="Times New Roman" w:hAnsi="Times New Roman"/>
          <w:sz w:val="28"/>
          <w:szCs w:val="28"/>
        </w:rPr>
      </w:pPr>
      <w:r w:rsidRPr="00DA15D1">
        <w:rPr>
          <w:rFonts w:ascii="Times New Roman" w:hAnsi="Times New Roman"/>
          <w:sz w:val="28"/>
          <w:szCs w:val="28"/>
        </w:rPr>
        <w:t xml:space="preserve">«Спеціальні обов'язки із забезпечення  розвитку генеруючих потужностей та систем накопичення енергії покладаються на оператора системи передачі, рішення щодо яких прийняте Кабінетом Міністрів України відповідно до статті 29 цього Закону». </w:t>
      </w:r>
    </w:p>
    <w:p w:rsidR="00040A50" w:rsidRPr="00DA15D1" w:rsidRDefault="00267B32">
      <w:pPr>
        <w:pStyle w:val="a8"/>
        <w:spacing w:before="120"/>
        <w:ind w:left="1080"/>
        <w:jc w:val="both"/>
      </w:pPr>
      <w:r w:rsidRPr="00DA15D1">
        <w:rPr>
          <w:rFonts w:ascii="Times New Roman" w:hAnsi="Times New Roman"/>
          <w:sz w:val="28"/>
          <w:szCs w:val="28"/>
        </w:rPr>
        <w:t>У зв‘язку з цим абзац восьмий відповідно вважати абзацом дев‘ятим.</w:t>
      </w:r>
    </w:p>
    <w:p w:rsidR="00040A50" w:rsidRPr="00DA15D1" w:rsidRDefault="00040A50">
      <w:pPr>
        <w:pStyle w:val="a8"/>
        <w:spacing w:before="120"/>
        <w:ind w:left="567"/>
        <w:jc w:val="both"/>
        <w:rPr>
          <w:rFonts w:ascii="Times New Roman" w:hAnsi="Times New Roman"/>
          <w:sz w:val="28"/>
          <w:szCs w:val="28"/>
        </w:rPr>
      </w:pPr>
    </w:p>
    <w:p w:rsidR="00040A50" w:rsidRPr="00DA15D1" w:rsidRDefault="00267B32">
      <w:pPr>
        <w:pStyle w:val="a8"/>
        <w:spacing w:before="120"/>
        <w:ind w:left="567"/>
        <w:jc w:val="both"/>
        <w:rPr>
          <w:rFonts w:ascii="Times New Roman" w:hAnsi="Times New Roman"/>
          <w:sz w:val="28"/>
          <w:szCs w:val="28"/>
        </w:rPr>
      </w:pPr>
      <w:r w:rsidRPr="00DA15D1">
        <w:rPr>
          <w:rFonts w:ascii="Times New Roman" w:hAnsi="Times New Roman"/>
          <w:sz w:val="28"/>
          <w:szCs w:val="28"/>
        </w:rPr>
        <w:t>11. доповнити частину другу статті 65 новим абзацом в такій редакції:</w:t>
      </w:r>
    </w:p>
    <w:p w:rsidR="00040A50" w:rsidRPr="00DA15D1" w:rsidRDefault="00267B32">
      <w:pPr>
        <w:spacing w:before="120"/>
        <w:ind w:firstLine="567"/>
        <w:jc w:val="both"/>
        <w:rPr>
          <w:rFonts w:ascii="Times New Roman" w:hAnsi="Times New Roman"/>
          <w:sz w:val="28"/>
          <w:szCs w:val="28"/>
        </w:rPr>
      </w:pPr>
      <w:r w:rsidRPr="00DA15D1">
        <w:rPr>
          <w:rFonts w:ascii="Times New Roman" w:hAnsi="Times New Roman"/>
          <w:sz w:val="28"/>
          <w:szCs w:val="28"/>
        </w:rPr>
        <w:t>«До балансуючої групи гарантованого покупця можуть входити оператори СНЕ, при цьому закупівля електроенергії за «зеленим» тарифом у суб’єктів господарювання, які поєднують діяльність з накопичення та виробництва електроенергії відбувається на базі нетто перетоків, відпущених в мережу.»</w:t>
      </w:r>
    </w:p>
    <w:p w:rsidR="00040A50" w:rsidRPr="00DA15D1" w:rsidRDefault="00267B32">
      <w:pPr>
        <w:spacing w:before="120"/>
        <w:ind w:firstLine="567"/>
        <w:jc w:val="both"/>
        <w:rPr>
          <w:rFonts w:ascii="Times New Roman" w:hAnsi="Times New Roman"/>
          <w:sz w:val="28"/>
          <w:szCs w:val="28"/>
        </w:rPr>
      </w:pPr>
      <w:r w:rsidRPr="00DA15D1">
        <w:rPr>
          <w:rFonts w:ascii="Times New Roman" w:hAnsi="Times New Roman"/>
          <w:sz w:val="28"/>
          <w:szCs w:val="28"/>
        </w:rPr>
        <w:t>У зв‘язку з цим абзац другий відповідно вважати абзацом третім.</w:t>
      </w:r>
    </w:p>
    <w:p w:rsidR="00040A50" w:rsidRPr="00DA15D1" w:rsidRDefault="00267B32">
      <w:pPr>
        <w:pStyle w:val="a8"/>
        <w:spacing w:before="120"/>
        <w:ind w:left="567"/>
        <w:jc w:val="both"/>
        <w:rPr>
          <w:rFonts w:ascii="Times New Roman" w:hAnsi="Times New Roman"/>
          <w:sz w:val="28"/>
          <w:szCs w:val="28"/>
        </w:rPr>
      </w:pPr>
      <w:r w:rsidRPr="00DA15D1">
        <w:rPr>
          <w:rFonts w:ascii="Times New Roman" w:hAnsi="Times New Roman"/>
          <w:sz w:val="28"/>
          <w:szCs w:val="28"/>
        </w:rPr>
        <w:t>12. статтю 71 доповнити новою частиною в такій редакції:</w:t>
      </w:r>
    </w:p>
    <w:p w:rsidR="00040A50" w:rsidRPr="00DA15D1" w:rsidRDefault="00267B32">
      <w:pPr>
        <w:spacing w:before="120"/>
        <w:jc w:val="both"/>
        <w:rPr>
          <w:rFonts w:ascii="Times New Roman" w:hAnsi="Times New Roman"/>
          <w:sz w:val="28"/>
          <w:szCs w:val="28"/>
          <w:lang w:eastAsia="en-US"/>
        </w:rPr>
      </w:pPr>
      <w:r w:rsidRPr="00DA15D1">
        <w:rPr>
          <w:rFonts w:ascii="Times New Roman" w:hAnsi="Times New Roman"/>
          <w:sz w:val="28"/>
          <w:szCs w:val="28"/>
        </w:rPr>
        <w:t xml:space="preserve">«7. Виробники електричної енергії, яким встановлено "зелений" тариф та які є оператором СНЕ, мають право входити до балансуючої групи гарантованого покупця та продавати гарантованому покупцю енергію з СНЕ за «зеленим тарифом» лише в обсязі не більшому від </w:t>
      </w:r>
      <w:r w:rsidRPr="00DA15D1">
        <w:rPr>
          <w:rFonts w:ascii="Times New Roman" w:hAnsi="Times New Roman"/>
          <w:sz w:val="28"/>
          <w:szCs w:val="28"/>
          <w:lang w:eastAsia="en-US"/>
        </w:rPr>
        <w:t>накопиченої в них електроенергії, виробленої на власних електроустановках (яким встановлено відповідний «зелений» тариф) та в обсязі що не перевищує встановлену потужність приєднання. »</w:t>
      </w:r>
    </w:p>
    <w:p w:rsidR="00040A50" w:rsidRPr="00DA15D1" w:rsidRDefault="00040A50">
      <w:pPr>
        <w:spacing w:before="120"/>
        <w:jc w:val="both"/>
        <w:rPr>
          <w:rFonts w:ascii="Times New Roman" w:hAnsi="Times New Roman"/>
          <w:sz w:val="28"/>
          <w:szCs w:val="28"/>
          <w:lang w:eastAsia="en-US"/>
        </w:rPr>
      </w:pPr>
    </w:p>
    <w:p w:rsidR="00040A50" w:rsidRPr="00DA15D1" w:rsidRDefault="00040A50">
      <w:pPr>
        <w:spacing w:before="120"/>
        <w:jc w:val="both"/>
        <w:rPr>
          <w:rFonts w:ascii="Times New Roman" w:hAnsi="Times New Roman"/>
          <w:sz w:val="28"/>
          <w:szCs w:val="28"/>
        </w:rPr>
      </w:pPr>
    </w:p>
    <w:p w:rsidR="00040A50" w:rsidRPr="00DA15D1" w:rsidRDefault="00267B32">
      <w:pPr>
        <w:pStyle w:val="a3"/>
        <w:spacing w:after="120"/>
        <w:ind w:firstLine="709"/>
        <w:rPr>
          <w:rFonts w:ascii="Times New Roman" w:hAnsi="Times New Roman"/>
          <w:sz w:val="28"/>
          <w:szCs w:val="28"/>
        </w:rPr>
      </w:pPr>
      <w:r w:rsidRPr="00DA15D1">
        <w:rPr>
          <w:rFonts w:ascii="Times New Roman" w:hAnsi="Times New Roman"/>
          <w:sz w:val="28"/>
          <w:szCs w:val="28"/>
        </w:rPr>
        <w:t>ІІ.</w:t>
      </w:r>
      <w:r w:rsidRPr="00DA15D1">
        <w:rPr>
          <w:rFonts w:ascii="Times New Roman" w:hAnsi="Times New Roman"/>
          <w:sz w:val="28"/>
          <w:szCs w:val="28"/>
        </w:rPr>
        <w:tab/>
        <w:t>Цей Закон набирає чинності з дня його опублікування.</w:t>
      </w:r>
    </w:p>
    <w:p w:rsidR="00040A50" w:rsidRDefault="00040A50">
      <w:pPr>
        <w:pStyle w:val="a3"/>
        <w:spacing w:before="0" w:after="120"/>
        <w:rPr>
          <w:rFonts w:ascii="Times New Roman" w:hAnsi="Times New Roman"/>
          <w:sz w:val="28"/>
          <w:szCs w:val="28"/>
        </w:rPr>
      </w:pPr>
    </w:p>
    <w:p w:rsidR="00FF5063" w:rsidRPr="00DA15D1" w:rsidRDefault="00FF5063">
      <w:pPr>
        <w:pStyle w:val="a3"/>
        <w:spacing w:before="0" w:after="120"/>
        <w:rPr>
          <w:rFonts w:ascii="Times New Roman" w:hAnsi="Times New Roman"/>
          <w:sz w:val="28"/>
          <w:szCs w:val="28"/>
        </w:rPr>
      </w:pPr>
    </w:p>
    <w:p w:rsidR="00040A50" w:rsidRPr="00DA15D1" w:rsidRDefault="00040A50">
      <w:pPr>
        <w:pStyle w:val="a3"/>
        <w:spacing w:before="0" w:after="120"/>
        <w:rPr>
          <w:rFonts w:ascii="Times New Roman" w:hAnsi="Times New Roman"/>
          <w:sz w:val="28"/>
          <w:szCs w:val="28"/>
        </w:rPr>
      </w:pPr>
    </w:p>
    <w:p w:rsidR="00040A50" w:rsidRPr="00DA15D1" w:rsidRDefault="00267B32">
      <w:pPr>
        <w:spacing w:after="120"/>
        <w:jc w:val="both"/>
        <w:rPr>
          <w:rFonts w:ascii="Times New Roman" w:hAnsi="Times New Roman"/>
          <w:sz w:val="28"/>
          <w:szCs w:val="28"/>
        </w:rPr>
      </w:pPr>
      <w:r w:rsidRPr="00DA15D1">
        <w:rPr>
          <w:rFonts w:ascii="Times New Roman" w:hAnsi="Times New Roman"/>
          <w:b/>
          <w:sz w:val="28"/>
          <w:szCs w:val="28"/>
        </w:rPr>
        <w:t xml:space="preserve">Голова </w:t>
      </w:r>
      <w:r w:rsidRPr="00DA15D1">
        <w:rPr>
          <w:rFonts w:ascii="Times New Roman" w:hAnsi="Times New Roman"/>
          <w:b/>
          <w:sz w:val="28"/>
          <w:szCs w:val="28"/>
        </w:rPr>
        <w:br/>
        <w:t>Верховної Ради України</w:t>
      </w:r>
      <w:r w:rsidRPr="00DA15D1">
        <w:rPr>
          <w:rFonts w:ascii="Times New Roman" w:hAnsi="Times New Roman"/>
          <w:b/>
          <w:sz w:val="28"/>
          <w:szCs w:val="28"/>
        </w:rPr>
        <w:tab/>
      </w:r>
      <w:r w:rsidRPr="00DA15D1">
        <w:rPr>
          <w:rFonts w:ascii="Times New Roman" w:hAnsi="Times New Roman"/>
          <w:b/>
          <w:sz w:val="28"/>
          <w:szCs w:val="28"/>
        </w:rPr>
        <w:tab/>
      </w:r>
      <w:r w:rsidRPr="00DA15D1">
        <w:rPr>
          <w:rFonts w:ascii="Times New Roman" w:hAnsi="Times New Roman"/>
          <w:b/>
          <w:sz w:val="28"/>
          <w:szCs w:val="28"/>
        </w:rPr>
        <w:tab/>
      </w:r>
      <w:r w:rsidRPr="00DA15D1">
        <w:rPr>
          <w:rFonts w:ascii="Times New Roman" w:hAnsi="Times New Roman"/>
          <w:b/>
          <w:sz w:val="28"/>
          <w:szCs w:val="28"/>
        </w:rPr>
        <w:tab/>
      </w:r>
      <w:r w:rsidRPr="00DA15D1">
        <w:rPr>
          <w:rFonts w:ascii="Times New Roman" w:hAnsi="Times New Roman"/>
          <w:b/>
          <w:sz w:val="28"/>
          <w:szCs w:val="28"/>
        </w:rPr>
        <w:tab/>
      </w:r>
      <w:r w:rsidRPr="00DA15D1">
        <w:rPr>
          <w:rFonts w:ascii="Times New Roman" w:hAnsi="Times New Roman"/>
          <w:b/>
          <w:sz w:val="28"/>
          <w:szCs w:val="28"/>
        </w:rPr>
        <w:tab/>
        <w:t xml:space="preserve">        </w:t>
      </w:r>
      <w:r w:rsidRPr="00DA15D1">
        <w:rPr>
          <w:rFonts w:ascii="Times New Roman" w:hAnsi="Times New Roman"/>
          <w:b/>
          <w:sz w:val="28"/>
          <w:szCs w:val="28"/>
          <w:lang w:eastAsia="uk-UA"/>
        </w:rPr>
        <w:t>Д. РАЗУМКОВ</w:t>
      </w:r>
    </w:p>
    <w:p w:rsidR="00040A50" w:rsidRPr="00DA15D1" w:rsidRDefault="00040A50">
      <w:pPr>
        <w:pStyle w:val="a3"/>
        <w:spacing w:before="0" w:after="120"/>
        <w:ind w:firstLine="0"/>
        <w:jc w:val="center"/>
        <w:rPr>
          <w:rFonts w:ascii="Times New Roman" w:hAnsi="Times New Roman"/>
          <w:sz w:val="28"/>
          <w:szCs w:val="28"/>
        </w:rPr>
      </w:pPr>
    </w:p>
    <w:sectPr w:rsidR="00040A50" w:rsidRPr="00DA15D1">
      <w:pgSz w:w="11906" w:h="16838"/>
      <w:pgMar w:top="850" w:right="850" w:bottom="85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12" w:rsidRDefault="00AA6F12">
      <w:r>
        <w:separator/>
      </w:r>
    </w:p>
  </w:endnote>
  <w:endnote w:type="continuationSeparator" w:id="0">
    <w:p w:rsidR="00AA6F12" w:rsidRDefault="00AA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12" w:rsidRDefault="00AA6F12">
      <w:r>
        <w:separator/>
      </w:r>
    </w:p>
  </w:footnote>
  <w:footnote w:type="continuationSeparator" w:id="0">
    <w:p w:rsidR="00AA6F12" w:rsidRDefault="00AA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E2815"/>
    <w:multiLevelType w:val="hybridMultilevel"/>
    <w:tmpl w:val="15C0DC08"/>
    <w:lvl w:ilvl="0" w:tplc="1FC646D6">
      <w:start w:val="2"/>
      <w:numFmt w:val="decimal"/>
      <w:lvlText w:val="%1)"/>
      <w:lvlJc w:val="left"/>
      <w:pPr>
        <w:ind w:left="720" w:hanging="360"/>
      </w:pPr>
      <w:rPr>
        <w:rFonts w:asciiTheme="minorHAnsi"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C15294E"/>
    <w:multiLevelType w:val="hybridMultilevel"/>
    <w:tmpl w:val="D08E6CC6"/>
    <w:lvl w:ilvl="0" w:tplc="4E40787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81229CD"/>
    <w:multiLevelType w:val="hybridMultilevel"/>
    <w:tmpl w:val="1CC874C8"/>
    <w:lvl w:ilvl="0" w:tplc="5888CFF2">
      <w:start w:val="4"/>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 w15:restartNumberingAfterBreak="0">
    <w:nsid w:val="5A604FF3"/>
    <w:multiLevelType w:val="hybridMultilevel"/>
    <w:tmpl w:val="D08E6CC6"/>
    <w:lvl w:ilvl="0" w:tplc="4E40787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62773FF0"/>
    <w:multiLevelType w:val="hybridMultilevel"/>
    <w:tmpl w:val="5FFCCC62"/>
    <w:lvl w:ilvl="0" w:tplc="53E25B7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690539BB"/>
    <w:multiLevelType w:val="hybridMultilevel"/>
    <w:tmpl w:val="7EA28CF8"/>
    <w:lvl w:ilvl="0" w:tplc="2880179E">
      <w:start w:val="4"/>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6DC26CA9"/>
    <w:multiLevelType w:val="hybridMultilevel"/>
    <w:tmpl w:val="674EB4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50"/>
    <w:rsid w:val="00040A50"/>
    <w:rsid w:val="0007281D"/>
    <w:rsid w:val="00267B32"/>
    <w:rsid w:val="00627DFB"/>
    <w:rsid w:val="007359D4"/>
    <w:rsid w:val="009655B6"/>
    <w:rsid w:val="009F30A5"/>
    <w:rsid w:val="00AA6F12"/>
    <w:rsid w:val="00DA15D1"/>
    <w:rsid w:val="00FF5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C371A-68A4-41AD-AE21-C2372D17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pPr>
      <w:spacing w:before="120"/>
      <w:ind w:firstLine="567"/>
      <w:jc w:val="both"/>
    </w:pPr>
  </w:style>
  <w:style w:type="paragraph" w:customStyle="1" w:styleId="a4">
    <w:name w:val="Установа"/>
    <w:basedOn w:val="a"/>
    <w:uiPriority w:val="99"/>
    <w:pPr>
      <w:keepNext/>
      <w:keepLines/>
      <w:spacing w:before="120"/>
      <w:jc w:val="center"/>
    </w:pPr>
    <w:rPr>
      <w:b/>
      <w:i/>
      <w:caps/>
      <w:sz w:val="48"/>
    </w:rPr>
  </w:style>
  <w:style w:type="paragraph" w:customStyle="1" w:styleId="a5">
    <w:name w:val="Вид документа"/>
    <w:basedOn w:val="a4"/>
    <w:next w:val="a"/>
    <w:uiPriority w:val="99"/>
    <w:pPr>
      <w:spacing w:before="0" w:after="240"/>
      <w:jc w:val="right"/>
    </w:pPr>
    <w:rPr>
      <w:b w:val="0"/>
      <w:i w:val="0"/>
      <w:caps w:val="0"/>
      <w:spacing w:val="20"/>
      <w:sz w:val="26"/>
    </w:rPr>
  </w:style>
  <w:style w:type="paragraph" w:styleId="a6">
    <w:name w:val="Normal (Web)"/>
    <w:basedOn w:val="a"/>
    <w:uiPriority w:val="99"/>
    <w:semiHidden/>
    <w:unhideWhenUsed/>
    <w:rPr>
      <w:rFonts w:ascii="Times New Roman" w:hAnsi="Times New Roman"/>
      <w:sz w:val="24"/>
      <w:szCs w:val="24"/>
    </w:rPr>
  </w:style>
  <w:style w:type="character" w:styleId="a7">
    <w:name w:val="Hyperlink"/>
    <w:basedOn w:val="a0"/>
    <w:uiPriority w:val="99"/>
    <w:unhideWhenUsed/>
    <w:rPr>
      <w:rFonts w:cs="Times New Roman"/>
      <w:color w:val="0000FF" w:themeColor="hyperlink"/>
      <w:u w:val="single"/>
    </w:rPr>
  </w:style>
  <w:style w:type="paragraph" w:customStyle="1" w:styleId="rvps2">
    <w:name w:val="rvps2"/>
    <w:basedOn w:val="a"/>
    <w:pPr>
      <w:spacing w:before="100" w:beforeAutospacing="1" w:after="100" w:afterAutospacing="1"/>
    </w:pPr>
    <w:rPr>
      <w:rFonts w:ascii="Times New Roman" w:hAnsi="Times New Roman"/>
      <w:sz w:val="24"/>
      <w:szCs w:val="24"/>
      <w:lang w:eastAsia="uk-UA"/>
    </w:rPr>
  </w:style>
  <w:style w:type="paragraph" w:styleId="a8">
    <w:name w:val="List Paragraph"/>
    <w:basedOn w:val="a"/>
    <w:link w:val="a9"/>
    <w:uiPriority w:val="34"/>
    <w:qFormat/>
    <w:pPr>
      <w:spacing w:after="160" w:line="259" w:lineRule="auto"/>
      <w:ind w:left="720"/>
      <w:contextualSpacing/>
    </w:pPr>
    <w:rPr>
      <w:rFonts w:asciiTheme="minorHAnsi" w:hAnsiTheme="minorHAnsi"/>
      <w:sz w:val="22"/>
      <w:szCs w:val="22"/>
      <w:lang w:eastAsia="en-US"/>
    </w:rPr>
  </w:style>
  <w:style w:type="paragraph" w:styleId="aa">
    <w:name w:val="header"/>
    <w:basedOn w:val="a"/>
    <w:link w:val="ab"/>
    <w:uiPriority w:val="99"/>
    <w:unhideWhenUsed/>
    <w:pPr>
      <w:tabs>
        <w:tab w:val="center" w:pos="4819"/>
        <w:tab w:val="right" w:pos="9639"/>
      </w:tabs>
    </w:pPr>
  </w:style>
  <w:style w:type="paragraph" w:styleId="ac">
    <w:name w:val="footer"/>
    <w:basedOn w:val="a"/>
    <w:link w:val="ad"/>
    <w:uiPriority w:val="99"/>
    <w:unhideWhenUsed/>
    <w:pPr>
      <w:tabs>
        <w:tab w:val="center" w:pos="4819"/>
        <w:tab w:val="right" w:pos="9639"/>
      </w:tabs>
    </w:pPr>
  </w:style>
  <w:style w:type="character" w:customStyle="1" w:styleId="ab">
    <w:name w:val="Верхній колонтитул Знак"/>
    <w:basedOn w:val="a0"/>
    <w:link w:val="aa"/>
    <w:uiPriority w:val="99"/>
    <w:locked/>
    <w:rPr>
      <w:rFonts w:ascii="Antiqua" w:hAnsi="Antiqua" w:cs="Times New Roman"/>
      <w:sz w:val="20"/>
      <w:szCs w:val="20"/>
      <w:lang w:val="x-none" w:eastAsia="ru-RU"/>
    </w:rPr>
  </w:style>
  <w:style w:type="paragraph" w:styleId="ae">
    <w:name w:val="Balloon Text"/>
    <w:basedOn w:val="a"/>
    <w:link w:val="af"/>
    <w:uiPriority w:val="99"/>
    <w:semiHidden/>
    <w:unhideWhenUsed/>
    <w:rPr>
      <w:rFonts w:ascii="Segoe UI" w:hAnsi="Segoe UI" w:cs="Segoe UI"/>
      <w:sz w:val="18"/>
      <w:szCs w:val="18"/>
    </w:rPr>
  </w:style>
  <w:style w:type="character" w:customStyle="1" w:styleId="ad">
    <w:name w:val="Нижній колонтитул Знак"/>
    <w:basedOn w:val="a0"/>
    <w:link w:val="ac"/>
    <w:uiPriority w:val="99"/>
    <w:locked/>
    <w:rPr>
      <w:rFonts w:ascii="Antiqua" w:hAnsi="Antiqua" w:cs="Times New Roman"/>
      <w:sz w:val="20"/>
      <w:szCs w:val="20"/>
      <w:lang w:val="x-none" w:eastAsia="ru-RU"/>
    </w:rPr>
  </w:style>
  <w:style w:type="character" w:customStyle="1" w:styleId="a9">
    <w:name w:val="Абзац списку Знак"/>
    <w:basedOn w:val="a0"/>
    <w:link w:val="a8"/>
    <w:uiPriority w:val="34"/>
    <w:locked/>
    <w:rPr>
      <w:rFonts w:cs="Times New Roman"/>
    </w:rPr>
  </w:style>
  <w:style w:type="character" w:customStyle="1" w:styleId="af">
    <w:name w:val="Текст у виносці Знак"/>
    <w:basedOn w:val="a0"/>
    <w:link w:val="ae"/>
    <w:uiPriority w:val="99"/>
    <w:semiHidden/>
    <w:locked/>
    <w:rPr>
      <w:rFonts w:ascii="Segoe UI" w:hAnsi="Segoe UI" w:cs="Segoe UI"/>
      <w:sz w:val="18"/>
      <w:szCs w:val="18"/>
      <w:lang w:val="x-none" w:eastAsia="ru-RU"/>
    </w:rPr>
  </w:style>
  <w:style w:type="paragraph" w:customStyle="1" w:styleId="m7409218796952919595rvps2">
    <w:name w:val="m_7409218796952919595rvps2"/>
    <w:basedOn w:val="a"/>
    <w:pPr>
      <w:spacing w:before="100" w:beforeAutospacing="1" w:after="100" w:afterAutospacing="1"/>
    </w:pPr>
    <w:rPr>
      <w:rFonts w:ascii="Times New Roman" w:hAnsi="Times New Roman"/>
      <w:sz w:val="24"/>
      <w:szCs w:val="24"/>
      <w:lang w:val="ru-RU"/>
    </w:rPr>
  </w:style>
  <w:style w:type="character" w:customStyle="1" w:styleId="StyleZakonu">
    <w:name w:val="StyleZakonu Знак"/>
    <w:link w:val="StyleZakonu0"/>
    <w:locked/>
    <w:rPr>
      <w:rFonts w:ascii="Times New Roman" w:hAnsi="Times New Roman"/>
      <w:lang w:val="x-none" w:eastAsia="ru-RU"/>
    </w:rPr>
  </w:style>
  <w:style w:type="paragraph" w:customStyle="1" w:styleId="StyleZakonu0">
    <w:name w:val="StyleZakonu"/>
    <w:basedOn w:val="a"/>
    <w:link w:val="StyleZakonu"/>
    <w:pPr>
      <w:spacing w:after="60" w:line="220" w:lineRule="exact"/>
      <w:ind w:firstLine="284"/>
      <w:jc w:val="both"/>
    </w:pPr>
    <w:rPr>
      <w:rFonts w:ascii="Times New Roman" w:hAnsi="Times New Roman"/>
      <w:sz w:val="22"/>
      <w:szCs w:val="22"/>
    </w:rPr>
  </w:style>
  <w:style w:type="table" w:styleId="af0">
    <w:name w:val="Table Grid"/>
    <w:basedOn w:val="a1"/>
    <w:uiPriority w:val="39"/>
    <w:pPr>
      <w:spacing w:after="0" w:line="240" w:lineRule="auto"/>
    </w:pPr>
    <w:rPr>
      <w:rFonts w:ascii="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68698">
      <w:marLeft w:val="0"/>
      <w:marRight w:val="0"/>
      <w:marTop w:val="0"/>
      <w:marBottom w:val="0"/>
      <w:divBdr>
        <w:top w:val="none" w:sz="0" w:space="0" w:color="auto"/>
        <w:left w:val="none" w:sz="0" w:space="0" w:color="auto"/>
        <w:bottom w:val="none" w:sz="0" w:space="0" w:color="auto"/>
        <w:right w:val="none" w:sz="0" w:space="0" w:color="auto"/>
      </w:divBdr>
    </w:div>
    <w:div w:id="1016268699">
      <w:marLeft w:val="0"/>
      <w:marRight w:val="0"/>
      <w:marTop w:val="0"/>
      <w:marBottom w:val="0"/>
      <w:divBdr>
        <w:top w:val="none" w:sz="0" w:space="0" w:color="auto"/>
        <w:left w:val="none" w:sz="0" w:space="0" w:color="auto"/>
        <w:bottom w:val="none" w:sz="0" w:space="0" w:color="auto"/>
        <w:right w:val="none" w:sz="0" w:space="0" w:color="auto"/>
      </w:divBdr>
    </w:div>
    <w:div w:id="1016268701">
      <w:marLeft w:val="0"/>
      <w:marRight w:val="0"/>
      <w:marTop w:val="0"/>
      <w:marBottom w:val="0"/>
      <w:divBdr>
        <w:top w:val="none" w:sz="0" w:space="0" w:color="auto"/>
        <w:left w:val="none" w:sz="0" w:space="0" w:color="auto"/>
        <w:bottom w:val="none" w:sz="0" w:space="0" w:color="auto"/>
        <w:right w:val="none" w:sz="0" w:space="0" w:color="auto"/>
      </w:divBdr>
    </w:div>
    <w:div w:id="1016268702">
      <w:marLeft w:val="0"/>
      <w:marRight w:val="0"/>
      <w:marTop w:val="0"/>
      <w:marBottom w:val="0"/>
      <w:divBdr>
        <w:top w:val="none" w:sz="0" w:space="0" w:color="auto"/>
        <w:left w:val="none" w:sz="0" w:space="0" w:color="auto"/>
        <w:bottom w:val="none" w:sz="0" w:space="0" w:color="auto"/>
        <w:right w:val="none" w:sz="0" w:space="0" w:color="auto"/>
      </w:divBdr>
    </w:div>
    <w:div w:id="1016268703">
      <w:marLeft w:val="0"/>
      <w:marRight w:val="0"/>
      <w:marTop w:val="0"/>
      <w:marBottom w:val="0"/>
      <w:divBdr>
        <w:top w:val="none" w:sz="0" w:space="0" w:color="auto"/>
        <w:left w:val="none" w:sz="0" w:space="0" w:color="auto"/>
        <w:bottom w:val="none" w:sz="0" w:space="0" w:color="auto"/>
        <w:right w:val="none" w:sz="0" w:space="0" w:color="auto"/>
      </w:divBdr>
    </w:div>
    <w:div w:id="1016268704">
      <w:marLeft w:val="0"/>
      <w:marRight w:val="0"/>
      <w:marTop w:val="0"/>
      <w:marBottom w:val="0"/>
      <w:divBdr>
        <w:top w:val="none" w:sz="0" w:space="0" w:color="auto"/>
        <w:left w:val="none" w:sz="0" w:space="0" w:color="auto"/>
        <w:bottom w:val="none" w:sz="0" w:space="0" w:color="auto"/>
        <w:right w:val="none" w:sz="0" w:space="0" w:color="auto"/>
      </w:divBdr>
      <w:divsChild>
        <w:div w:id="1016268700">
          <w:marLeft w:val="146"/>
          <w:marRight w:val="0"/>
          <w:marTop w:val="0"/>
          <w:marBottom w:val="0"/>
          <w:divBdr>
            <w:top w:val="none" w:sz="0" w:space="0" w:color="auto"/>
            <w:left w:val="none" w:sz="0" w:space="0" w:color="auto"/>
            <w:bottom w:val="none" w:sz="0" w:space="0" w:color="auto"/>
            <w:right w:val="none" w:sz="0" w:space="0" w:color="auto"/>
          </w:divBdr>
        </w:div>
      </w:divsChild>
    </w:div>
    <w:div w:id="1016268705">
      <w:marLeft w:val="0"/>
      <w:marRight w:val="0"/>
      <w:marTop w:val="0"/>
      <w:marBottom w:val="0"/>
      <w:divBdr>
        <w:top w:val="none" w:sz="0" w:space="0" w:color="auto"/>
        <w:left w:val="none" w:sz="0" w:space="0" w:color="auto"/>
        <w:bottom w:val="none" w:sz="0" w:space="0" w:color="auto"/>
        <w:right w:val="none" w:sz="0" w:space="0" w:color="auto"/>
      </w:divBdr>
    </w:div>
    <w:div w:id="1016268706">
      <w:marLeft w:val="0"/>
      <w:marRight w:val="0"/>
      <w:marTop w:val="0"/>
      <w:marBottom w:val="0"/>
      <w:divBdr>
        <w:top w:val="none" w:sz="0" w:space="0" w:color="auto"/>
        <w:left w:val="none" w:sz="0" w:space="0" w:color="auto"/>
        <w:bottom w:val="none" w:sz="0" w:space="0" w:color="auto"/>
        <w:right w:val="none" w:sz="0" w:space="0" w:color="auto"/>
      </w:divBdr>
    </w:div>
    <w:div w:id="1016268707">
      <w:marLeft w:val="0"/>
      <w:marRight w:val="0"/>
      <w:marTop w:val="0"/>
      <w:marBottom w:val="0"/>
      <w:divBdr>
        <w:top w:val="none" w:sz="0" w:space="0" w:color="auto"/>
        <w:left w:val="none" w:sz="0" w:space="0" w:color="auto"/>
        <w:bottom w:val="none" w:sz="0" w:space="0" w:color="auto"/>
        <w:right w:val="none" w:sz="0" w:space="0" w:color="auto"/>
      </w:divBdr>
    </w:div>
    <w:div w:id="1016268708">
      <w:marLeft w:val="0"/>
      <w:marRight w:val="0"/>
      <w:marTop w:val="0"/>
      <w:marBottom w:val="0"/>
      <w:divBdr>
        <w:top w:val="none" w:sz="0" w:space="0" w:color="auto"/>
        <w:left w:val="none" w:sz="0" w:space="0" w:color="auto"/>
        <w:bottom w:val="none" w:sz="0" w:space="0" w:color="auto"/>
        <w:right w:val="none" w:sz="0" w:space="0" w:color="auto"/>
      </w:divBdr>
    </w:div>
    <w:div w:id="1016268709">
      <w:marLeft w:val="0"/>
      <w:marRight w:val="0"/>
      <w:marTop w:val="0"/>
      <w:marBottom w:val="0"/>
      <w:divBdr>
        <w:top w:val="none" w:sz="0" w:space="0" w:color="auto"/>
        <w:left w:val="none" w:sz="0" w:space="0" w:color="auto"/>
        <w:bottom w:val="none" w:sz="0" w:space="0" w:color="auto"/>
        <w:right w:val="none" w:sz="0" w:space="0" w:color="auto"/>
      </w:divBdr>
    </w:div>
    <w:div w:id="1016268710">
      <w:marLeft w:val="0"/>
      <w:marRight w:val="0"/>
      <w:marTop w:val="0"/>
      <w:marBottom w:val="0"/>
      <w:divBdr>
        <w:top w:val="none" w:sz="0" w:space="0" w:color="auto"/>
        <w:left w:val="none" w:sz="0" w:space="0" w:color="auto"/>
        <w:bottom w:val="none" w:sz="0" w:space="0" w:color="auto"/>
        <w:right w:val="none" w:sz="0" w:space="0" w:color="auto"/>
      </w:divBdr>
    </w:div>
    <w:div w:id="1016268711">
      <w:marLeft w:val="0"/>
      <w:marRight w:val="0"/>
      <w:marTop w:val="0"/>
      <w:marBottom w:val="0"/>
      <w:divBdr>
        <w:top w:val="none" w:sz="0" w:space="0" w:color="auto"/>
        <w:left w:val="none" w:sz="0" w:space="0" w:color="auto"/>
        <w:bottom w:val="none" w:sz="0" w:space="0" w:color="auto"/>
        <w:right w:val="none" w:sz="0" w:space="0" w:color="auto"/>
      </w:divBdr>
    </w:div>
    <w:div w:id="1016268712">
      <w:marLeft w:val="0"/>
      <w:marRight w:val="0"/>
      <w:marTop w:val="0"/>
      <w:marBottom w:val="0"/>
      <w:divBdr>
        <w:top w:val="none" w:sz="0" w:space="0" w:color="auto"/>
        <w:left w:val="none" w:sz="0" w:space="0" w:color="auto"/>
        <w:bottom w:val="none" w:sz="0" w:space="0" w:color="auto"/>
        <w:right w:val="none" w:sz="0" w:space="0" w:color="auto"/>
      </w:divBdr>
    </w:div>
    <w:div w:id="1016268713">
      <w:marLeft w:val="0"/>
      <w:marRight w:val="0"/>
      <w:marTop w:val="0"/>
      <w:marBottom w:val="0"/>
      <w:divBdr>
        <w:top w:val="none" w:sz="0" w:space="0" w:color="auto"/>
        <w:left w:val="none" w:sz="0" w:space="0" w:color="auto"/>
        <w:bottom w:val="none" w:sz="0" w:space="0" w:color="auto"/>
        <w:right w:val="none" w:sz="0" w:space="0" w:color="auto"/>
      </w:divBdr>
    </w:div>
    <w:div w:id="1016268714">
      <w:marLeft w:val="0"/>
      <w:marRight w:val="0"/>
      <w:marTop w:val="0"/>
      <w:marBottom w:val="0"/>
      <w:divBdr>
        <w:top w:val="none" w:sz="0" w:space="0" w:color="auto"/>
        <w:left w:val="none" w:sz="0" w:space="0" w:color="auto"/>
        <w:bottom w:val="none" w:sz="0" w:space="0" w:color="auto"/>
        <w:right w:val="none" w:sz="0" w:space="0" w:color="auto"/>
      </w:divBdr>
    </w:div>
    <w:div w:id="1016268715">
      <w:marLeft w:val="0"/>
      <w:marRight w:val="0"/>
      <w:marTop w:val="0"/>
      <w:marBottom w:val="0"/>
      <w:divBdr>
        <w:top w:val="none" w:sz="0" w:space="0" w:color="auto"/>
        <w:left w:val="none" w:sz="0" w:space="0" w:color="auto"/>
        <w:bottom w:val="none" w:sz="0" w:space="0" w:color="auto"/>
        <w:right w:val="none" w:sz="0" w:space="0" w:color="auto"/>
      </w:divBdr>
    </w:div>
    <w:div w:id="1016268716">
      <w:marLeft w:val="0"/>
      <w:marRight w:val="0"/>
      <w:marTop w:val="0"/>
      <w:marBottom w:val="0"/>
      <w:divBdr>
        <w:top w:val="none" w:sz="0" w:space="0" w:color="auto"/>
        <w:left w:val="none" w:sz="0" w:space="0" w:color="auto"/>
        <w:bottom w:val="none" w:sz="0" w:space="0" w:color="auto"/>
        <w:right w:val="none" w:sz="0" w:space="0" w:color="auto"/>
      </w:divBdr>
    </w:div>
    <w:div w:id="1016268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8B77-75F6-4EC1-AF33-D88FB1FE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1386</Words>
  <Characters>9540</Characters>
  <Application>Microsoft Office Word</Application>
  <DocSecurity>0</DocSecurity>
  <Lines>79</Lines>
  <Paragraphs>21</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Камельчук Юрій Олександрович</cp:lastModifiedBy>
  <cp:revision>8</cp:revision>
  <cp:lastPrinted>2019-12-11T10:53:00Z</cp:lastPrinted>
  <dcterms:created xsi:type="dcterms:W3CDTF">2019-12-11T10:48:00Z</dcterms:created>
  <dcterms:modified xsi:type="dcterms:W3CDTF">2019-12-12T11:38:00Z</dcterms:modified>
</cp:coreProperties>
</file>