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5EA" w:rsidRDefault="005B55EA">
      <w:pPr>
        <w:spacing w:after="0" w:line="240" w:lineRule="auto"/>
        <w:ind w:firstLine="567"/>
        <w:rPr>
          <w:rFonts w:ascii="Times New Roman" w:eastAsia="Times New Roman" w:hAnsi="Times New Roman" w:cs="Times New Roman"/>
          <w:sz w:val="28"/>
          <w:szCs w:val="28"/>
        </w:rPr>
      </w:pPr>
    </w:p>
    <w:p w:rsidR="005B55EA" w:rsidRDefault="005B55EA">
      <w:pPr>
        <w:spacing w:after="0" w:line="240" w:lineRule="auto"/>
        <w:ind w:firstLine="567"/>
        <w:rPr>
          <w:rFonts w:ascii="Times New Roman" w:eastAsia="Times New Roman" w:hAnsi="Times New Roman" w:cs="Times New Roman"/>
          <w:sz w:val="28"/>
          <w:szCs w:val="28"/>
        </w:rPr>
      </w:pPr>
    </w:p>
    <w:p w:rsidR="005B55EA" w:rsidRDefault="001B7BA4">
      <w:pPr>
        <w:spacing w:after="0" w:line="360" w:lineRule="auto"/>
        <w:ind w:firstLine="567"/>
        <w:jc w:val="both"/>
        <w:rPr>
          <w:rFonts w:ascii="Times New Roman" w:eastAsia="Times New Roman" w:hAnsi="Times New Roman" w:cs="Times New Roman"/>
          <w:color w:val="333333"/>
          <w:sz w:val="28"/>
          <w:szCs w:val="28"/>
          <w:highlight w:val="white"/>
        </w:rPr>
      </w:pPr>
      <w:r>
        <w:rPr>
          <w:rFonts w:ascii="Arial" w:eastAsia="Arial" w:hAnsi="Arial" w:cs="Arial"/>
          <w:color w:val="333333"/>
          <w:sz w:val="18"/>
          <w:szCs w:val="18"/>
          <w:highlight w:val="white"/>
        </w:rPr>
        <w:t> </w:t>
      </w:r>
      <w:r>
        <w:rPr>
          <w:rFonts w:ascii="Arial" w:eastAsia="Arial" w:hAnsi="Arial" w:cs="Arial"/>
          <w:color w:val="333333"/>
          <w:sz w:val="18"/>
          <w:szCs w:val="18"/>
          <w:highlight w:val="white"/>
        </w:rPr>
        <w:tab/>
      </w:r>
      <w:r>
        <w:rPr>
          <w:rFonts w:ascii="Arial" w:eastAsia="Arial" w:hAnsi="Arial" w:cs="Arial"/>
          <w:color w:val="333333"/>
          <w:sz w:val="18"/>
          <w:szCs w:val="18"/>
          <w:highlight w:val="white"/>
        </w:rPr>
        <w:tab/>
      </w:r>
      <w:r>
        <w:rPr>
          <w:rFonts w:ascii="Arial" w:eastAsia="Arial" w:hAnsi="Arial" w:cs="Arial"/>
          <w:color w:val="333333"/>
          <w:sz w:val="18"/>
          <w:szCs w:val="18"/>
          <w:highlight w:val="white"/>
        </w:rPr>
        <w:tab/>
      </w:r>
      <w:r>
        <w:rPr>
          <w:rFonts w:ascii="Arial" w:eastAsia="Arial" w:hAnsi="Arial" w:cs="Arial"/>
          <w:color w:val="333333"/>
          <w:sz w:val="18"/>
          <w:szCs w:val="18"/>
          <w:highlight w:val="white"/>
        </w:rPr>
        <w:tab/>
      </w:r>
      <w:r>
        <w:rPr>
          <w:rFonts w:ascii="Times New Roman" w:eastAsia="Times New Roman" w:hAnsi="Times New Roman" w:cs="Times New Roman"/>
          <w:color w:val="333333"/>
          <w:sz w:val="28"/>
          <w:szCs w:val="28"/>
          <w:highlight w:val="white"/>
        </w:rPr>
        <w:tab/>
      </w:r>
      <w:r>
        <w:rPr>
          <w:rFonts w:ascii="Times New Roman" w:eastAsia="Times New Roman" w:hAnsi="Times New Roman" w:cs="Times New Roman"/>
          <w:color w:val="333333"/>
          <w:sz w:val="28"/>
          <w:szCs w:val="28"/>
          <w:highlight w:val="white"/>
        </w:rPr>
        <w:tab/>
      </w:r>
    </w:p>
    <w:p w:rsidR="005B55EA" w:rsidRDefault="005B55EA">
      <w:pPr>
        <w:spacing w:after="0" w:line="360" w:lineRule="auto"/>
        <w:ind w:firstLine="567"/>
        <w:jc w:val="both"/>
        <w:rPr>
          <w:rFonts w:ascii="Times New Roman" w:eastAsia="Times New Roman" w:hAnsi="Times New Roman" w:cs="Times New Roman"/>
          <w:color w:val="333333"/>
          <w:sz w:val="28"/>
          <w:szCs w:val="28"/>
          <w:highlight w:val="white"/>
        </w:rPr>
      </w:pPr>
    </w:p>
    <w:p w:rsidR="005B55EA" w:rsidRDefault="001B7BA4">
      <w:pPr>
        <w:spacing w:after="0" w:line="360" w:lineRule="auto"/>
        <w:ind w:left="2160" w:firstLine="391"/>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ab/>
      </w:r>
      <w:r>
        <w:rPr>
          <w:rFonts w:ascii="Times New Roman" w:eastAsia="Times New Roman" w:hAnsi="Times New Roman" w:cs="Times New Roman"/>
          <w:color w:val="333333"/>
          <w:sz w:val="28"/>
          <w:szCs w:val="28"/>
          <w:highlight w:val="white"/>
        </w:rPr>
        <w:tab/>
      </w:r>
      <w:r>
        <w:rPr>
          <w:rFonts w:ascii="Times New Roman" w:eastAsia="Times New Roman" w:hAnsi="Times New Roman" w:cs="Times New Roman"/>
          <w:color w:val="333333"/>
          <w:sz w:val="28"/>
          <w:szCs w:val="28"/>
          <w:highlight w:val="white"/>
        </w:rPr>
        <w:tab/>
        <w:t>Комітет з питань правоохоронної діяльності</w:t>
      </w:r>
      <w:r>
        <w:rPr>
          <w:rFonts w:ascii="Times New Roman" w:eastAsia="Times New Roman" w:hAnsi="Times New Roman" w:cs="Times New Roman"/>
          <w:color w:val="333333"/>
          <w:sz w:val="28"/>
          <w:szCs w:val="28"/>
          <w:highlight w:val="white"/>
        </w:rPr>
        <w:tab/>
      </w:r>
      <w:r>
        <w:rPr>
          <w:rFonts w:ascii="Times New Roman" w:eastAsia="Times New Roman" w:hAnsi="Times New Roman" w:cs="Times New Roman"/>
          <w:color w:val="333333"/>
          <w:sz w:val="28"/>
          <w:szCs w:val="28"/>
          <w:highlight w:val="white"/>
        </w:rPr>
        <w:tab/>
      </w:r>
      <w:r>
        <w:rPr>
          <w:rFonts w:ascii="Times New Roman" w:eastAsia="Times New Roman" w:hAnsi="Times New Roman" w:cs="Times New Roman"/>
          <w:color w:val="333333"/>
          <w:sz w:val="28"/>
          <w:szCs w:val="28"/>
          <w:highlight w:val="white"/>
        </w:rPr>
        <w:tab/>
      </w:r>
      <w:r>
        <w:rPr>
          <w:rFonts w:ascii="Times New Roman" w:eastAsia="Times New Roman" w:hAnsi="Times New Roman" w:cs="Times New Roman"/>
          <w:color w:val="333333"/>
          <w:sz w:val="28"/>
          <w:szCs w:val="28"/>
          <w:highlight w:val="white"/>
        </w:rPr>
        <w:tab/>
      </w:r>
      <w:r>
        <w:rPr>
          <w:rFonts w:ascii="Times New Roman" w:eastAsia="Times New Roman" w:hAnsi="Times New Roman" w:cs="Times New Roman"/>
          <w:color w:val="333333"/>
          <w:sz w:val="28"/>
          <w:szCs w:val="28"/>
          <w:highlight w:val="white"/>
        </w:rPr>
        <w:tab/>
      </w:r>
      <w:r>
        <w:rPr>
          <w:rFonts w:ascii="Times New Roman" w:eastAsia="Times New Roman" w:hAnsi="Times New Roman" w:cs="Times New Roman"/>
          <w:color w:val="333333"/>
          <w:sz w:val="28"/>
          <w:szCs w:val="28"/>
          <w:highlight w:val="white"/>
        </w:rPr>
        <w:tab/>
        <w:t xml:space="preserve"> </w:t>
      </w:r>
    </w:p>
    <w:p w:rsidR="005B55EA" w:rsidRDefault="005B55EA">
      <w:pPr>
        <w:spacing w:after="0" w:line="360" w:lineRule="auto"/>
        <w:ind w:firstLine="567"/>
        <w:jc w:val="both"/>
        <w:rPr>
          <w:rFonts w:ascii="Times New Roman" w:eastAsia="Times New Roman" w:hAnsi="Times New Roman" w:cs="Times New Roman"/>
          <w:i/>
          <w:color w:val="333333"/>
          <w:sz w:val="28"/>
          <w:szCs w:val="28"/>
          <w:highlight w:val="white"/>
        </w:rPr>
      </w:pPr>
    </w:p>
    <w:p w:rsidR="005B55EA" w:rsidRDefault="005B55EA">
      <w:pPr>
        <w:spacing w:after="0" w:line="360" w:lineRule="auto"/>
        <w:ind w:firstLine="567"/>
        <w:jc w:val="both"/>
        <w:rPr>
          <w:rFonts w:ascii="Times New Roman" w:eastAsia="Times New Roman" w:hAnsi="Times New Roman" w:cs="Times New Roman"/>
          <w:i/>
          <w:color w:val="333333"/>
          <w:sz w:val="28"/>
          <w:szCs w:val="28"/>
          <w:highlight w:val="white"/>
        </w:rPr>
      </w:pPr>
    </w:p>
    <w:p w:rsidR="005B55EA" w:rsidRDefault="001B7BA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Рішення Комітету</w:t>
      </w:r>
    </w:p>
    <w:p w:rsidR="005B55EA" w:rsidRDefault="001B7BA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щодо експертного висновку</w:t>
      </w:r>
    </w:p>
    <w:p w:rsidR="005B55EA" w:rsidRDefault="001B7BA4">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законопроекту № 2689</w:t>
      </w:r>
    </w:p>
    <w:p w:rsidR="005B55EA" w:rsidRDefault="005B55EA">
      <w:pPr>
        <w:spacing w:after="0" w:line="360" w:lineRule="auto"/>
        <w:jc w:val="both"/>
        <w:rPr>
          <w:rFonts w:ascii="Times New Roman" w:eastAsia="Times New Roman" w:hAnsi="Times New Roman" w:cs="Times New Roman"/>
          <w:color w:val="333333"/>
          <w:sz w:val="28"/>
          <w:szCs w:val="28"/>
          <w:highlight w:val="white"/>
        </w:rPr>
      </w:pPr>
    </w:p>
    <w:p w:rsidR="005B55EA" w:rsidRDefault="001B7BA4">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Згідно зі статтею 93 Регламенту Верховної Ради України, відповідно до предмета відання і за дорученням Голови Верховної Ради України, Комітет для підготовки експертного висновку щодо відповідності вимогам антикорупційного законодавства, розглянув проект Закону про внесення змін до деяких законодавчих актів України щодо імплементації норм міжнародного кримінального та гуманітарного</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права (реєстр. № 2689), поданий народними депутатами України Монастирським Д.А., </w:t>
      </w:r>
      <w:proofErr w:type="spellStart"/>
      <w:r>
        <w:rPr>
          <w:rFonts w:ascii="Times New Roman" w:eastAsia="Times New Roman" w:hAnsi="Times New Roman" w:cs="Times New Roman"/>
          <w:sz w:val="28"/>
          <w:szCs w:val="28"/>
        </w:rPr>
        <w:t>Бакумовим</w:t>
      </w:r>
      <w:proofErr w:type="spellEnd"/>
      <w:r>
        <w:rPr>
          <w:rFonts w:ascii="Times New Roman" w:eastAsia="Times New Roman" w:hAnsi="Times New Roman" w:cs="Times New Roman"/>
          <w:sz w:val="28"/>
          <w:szCs w:val="28"/>
        </w:rPr>
        <w:t xml:space="preserve"> О.С. та іншими.</w:t>
      </w:r>
    </w:p>
    <w:p w:rsidR="005B55EA" w:rsidRDefault="001B7BA4">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Закону спрямований на забезпечення повноти імплементації положень міжнародного кримінального і гуманітарного права щодо кримінально-правового переслідування за міжнародні злочини (геноциду, злочин агресії, злочини проти людяності та воєнні злочини), а також на забезпечення виконання міжнародних зобов'язань щодо запобігання юридичній та фактичній безкарності за вчинення таких злочинів.</w:t>
      </w:r>
    </w:p>
    <w:p w:rsidR="005B55EA" w:rsidRDefault="001B7BA4">
      <w:pPr>
        <w:spacing w:after="0" w:line="36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У проекті </w:t>
      </w:r>
      <w:proofErr w:type="spellStart"/>
      <w:r>
        <w:rPr>
          <w:rFonts w:ascii="Times New Roman" w:eastAsia="Times New Roman" w:hAnsi="Times New Roman" w:cs="Times New Roman"/>
          <w:b/>
          <w:sz w:val="28"/>
          <w:szCs w:val="28"/>
        </w:rPr>
        <w:t>акта</w:t>
      </w:r>
      <w:proofErr w:type="spellEnd"/>
      <w:r>
        <w:rPr>
          <w:rFonts w:ascii="Times New Roman" w:eastAsia="Times New Roman" w:hAnsi="Times New Roman" w:cs="Times New Roman"/>
          <w:b/>
          <w:sz w:val="28"/>
          <w:szCs w:val="28"/>
        </w:rPr>
        <w:t xml:space="preserve"> не виявлено </w:t>
      </w:r>
      <w:proofErr w:type="spellStart"/>
      <w:r>
        <w:rPr>
          <w:rFonts w:ascii="Times New Roman" w:eastAsia="Times New Roman" w:hAnsi="Times New Roman" w:cs="Times New Roman"/>
          <w:b/>
          <w:sz w:val="28"/>
          <w:szCs w:val="28"/>
        </w:rPr>
        <w:t>корупціогенних</w:t>
      </w:r>
      <w:proofErr w:type="spellEnd"/>
      <w:r>
        <w:rPr>
          <w:rFonts w:ascii="Times New Roman" w:eastAsia="Times New Roman" w:hAnsi="Times New Roman" w:cs="Times New Roman"/>
          <w:b/>
          <w:sz w:val="28"/>
          <w:szCs w:val="28"/>
        </w:rPr>
        <w:t xml:space="preserve"> факторів, що можуть сприяти вчиненню корупційних правопорушень.</w:t>
      </w:r>
    </w:p>
    <w:p w:rsidR="005B55EA" w:rsidRDefault="001B7BA4">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Разом з тим, Комітет висловлює до проекту Закону наступні зауваження.</w:t>
      </w:r>
    </w:p>
    <w:p w:rsidR="005B55EA" w:rsidRDefault="001B7BA4">
      <w:pPr>
        <w:tabs>
          <w:tab w:val="left" w:pos="5387"/>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З метою забезпечення дотримання засад індивідуального характеру відповідальності (ч. 2 ст. 61 Конституції України), основним змістом якого є </w:t>
      </w:r>
      <w:r>
        <w:rPr>
          <w:rFonts w:ascii="Times New Roman" w:eastAsia="Times New Roman" w:hAnsi="Times New Roman" w:cs="Times New Roman"/>
          <w:i/>
          <w:sz w:val="28"/>
          <w:szCs w:val="28"/>
        </w:rPr>
        <w:t>неможливість притягнення осіб до кримінальної відповідальності за діяння, які вони не вчиняли</w:t>
      </w:r>
      <w:r>
        <w:rPr>
          <w:rFonts w:ascii="Times New Roman" w:eastAsia="Times New Roman" w:hAnsi="Times New Roman" w:cs="Times New Roman"/>
          <w:sz w:val="28"/>
          <w:szCs w:val="28"/>
        </w:rPr>
        <w:t>, потребують уточнення положення статей 437-438</w:t>
      </w:r>
      <w:r>
        <w:rPr>
          <w:rFonts w:ascii="Times New Roman" w:eastAsia="Times New Roman" w:hAnsi="Times New Roman" w:cs="Times New Roman"/>
          <w:sz w:val="28"/>
          <w:szCs w:val="28"/>
          <w:vertAlign w:val="superscript"/>
        </w:rPr>
        <w:t>5</w:t>
      </w:r>
      <w:r>
        <w:rPr>
          <w:rFonts w:ascii="Times New Roman" w:eastAsia="Times New Roman" w:hAnsi="Times New Roman" w:cs="Times New Roman"/>
          <w:sz w:val="28"/>
          <w:szCs w:val="28"/>
        </w:rPr>
        <w:t>, 442 і 442</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Кримінального кодексу України (у редакції законопроекту) щодо встановлення кримінальної відповідальності для “військових командирів, </w:t>
      </w:r>
      <w:r>
        <w:rPr>
          <w:rFonts w:ascii="Times New Roman" w:eastAsia="Times New Roman" w:hAnsi="Times New Roman" w:cs="Times New Roman"/>
          <w:i/>
          <w:sz w:val="28"/>
          <w:szCs w:val="28"/>
          <w:u w:val="single"/>
        </w:rPr>
        <w:t>інших осіб, що фактично діють як військові командири та інших начальників”</w:t>
      </w:r>
      <w:r>
        <w:rPr>
          <w:rFonts w:ascii="Times New Roman" w:eastAsia="Times New Roman" w:hAnsi="Times New Roman" w:cs="Times New Roman"/>
          <w:sz w:val="28"/>
          <w:szCs w:val="28"/>
        </w:rPr>
        <w:t>.</w:t>
      </w:r>
    </w:p>
    <w:p w:rsidR="005B55EA" w:rsidRDefault="001B7BA4">
      <w:pPr>
        <w:spacing w:after="0" w:line="360" w:lineRule="auto"/>
        <w:ind w:firstLine="567"/>
        <w:jc w:val="both"/>
        <w:rPr>
          <w:rFonts w:ascii="Times New Roman" w:eastAsia="Times New Roman" w:hAnsi="Times New Roman" w:cs="Times New Roman"/>
          <w:sz w:val="28"/>
          <w:szCs w:val="28"/>
        </w:rPr>
      </w:pPr>
      <w:bookmarkStart w:id="0" w:name="_heading=h.30j0zll" w:colFirst="0" w:colLast="0"/>
      <w:bookmarkEnd w:id="0"/>
      <w:r>
        <w:rPr>
          <w:rFonts w:ascii="Times New Roman" w:eastAsia="Times New Roman" w:hAnsi="Times New Roman" w:cs="Times New Roman"/>
          <w:sz w:val="28"/>
          <w:szCs w:val="28"/>
        </w:rPr>
        <w:t xml:space="preserve">2. Також, Комітет звертає увагу, на те, шо запровадження можливості </w:t>
      </w:r>
      <w:r>
        <w:rPr>
          <w:rFonts w:ascii="Times New Roman" w:eastAsia="Times New Roman" w:hAnsi="Times New Roman" w:cs="Times New Roman"/>
          <w:i/>
          <w:sz w:val="28"/>
          <w:szCs w:val="28"/>
        </w:rPr>
        <w:t xml:space="preserve"> врахування </w:t>
      </w:r>
      <w:r>
        <w:rPr>
          <w:rFonts w:ascii="Times New Roman" w:eastAsia="Times New Roman" w:hAnsi="Times New Roman" w:cs="Times New Roman"/>
          <w:i/>
          <w:sz w:val="28"/>
          <w:szCs w:val="28"/>
          <w:u w:val="single"/>
        </w:rPr>
        <w:t>практики</w:t>
      </w:r>
      <w:r>
        <w:rPr>
          <w:rFonts w:ascii="Times New Roman" w:eastAsia="Times New Roman" w:hAnsi="Times New Roman" w:cs="Times New Roman"/>
          <w:i/>
          <w:sz w:val="28"/>
          <w:szCs w:val="28"/>
        </w:rPr>
        <w:t xml:space="preserve"> застосування положень </w:t>
      </w:r>
      <w:r>
        <w:rPr>
          <w:rFonts w:ascii="Times New Roman" w:eastAsia="Times New Roman" w:hAnsi="Times New Roman" w:cs="Times New Roman"/>
          <w:i/>
          <w:sz w:val="28"/>
          <w:szCs w:val="28"/>
          <w:u w:val="single"/>
        </w:rPr>
        <w:t>звичаїв</w:t>
      </w:r>
      <w:r>
        <w:rPr>
          <w:rFonts w:ascii="Times New Roman" w:eastAsia="Times New Roman" w:hAnsi="Times New Roman" w:cs="Times New Roman"/>
          <w:i/>
          <w:sz w:val="28"/>
          <w:szCs w:val="28"/>
        </w:rPr>
        <w:t xml:space="preserve"> міжнародного права міжнародними судовими установами (трибуналами) </w:t>
      </w:r>
      <w:r>
        <w:rPr>
          <w:rFonts w:ascii="Times New Roman" w:eastAsia="Times New Roman" w:hAnsi="Times New Roman" w:cs="Times New Roman"/>
          <w:i/>
          <w:sz w:val="28"/>
          <w:szCs w:val="28"/>
          <w:u w:val="single"/>
        </w:rPr>
        <w:t>може призвести до надто широкого розуміння його меж, а отже, і до можливості службових зловживань</w:t>
      </w:r>
      <w:r>
        <w:rPr>
          <w:rFonts w:ascii="Times New Roman" w:eastAsia="Times New Roman" w:hAnsi="Times New Roman" w:cs="Times New Roman"/>
          <w:i/>
          <w:sz w:val="28"/>
          <w:szCs w:val="28"/>
        </w:rPr>
        <w:t xml:space="preserve"> під час здійснення відповідного кримінального провадження (наприклад, для обґрунтування звільнення від кримінальної відповідальності або покарання). </w:t>
      </w:r>
    </w:p>
    <w:p w:rsidR="005B55EA" w:rsidRDefault="001B7BA4">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Керуючись положеннями пункту 3 частини першої статті 16 Закону України «Про комітети Верховної Ради України», статті 55 Закону Україн</w:t>
      </w:r>
      <w:bookmarkStart w:id="1" w:name="_GoBack"/>
      <w:bookmarkEnd w:id="1"/>
      <w:r>
        <w:rPr>
          <w:rFonts w:ascii="Times New Roman" w:eastAsia="Times New Roman" w:hAnsi="Times New Roman" w:cs="Times New Roman"/>
          <w:sz w:val="28"/>
          <w:szCs w:val="28"/>
        </w:rPr>
        <w:t>и «Про запобігання корупції», частини першої статті 93 Регламенту Верховної Ради України, Комітет на своєму засіданні 15 вересня 2020 року (протокол № 50) дійшов висновку та прийняв рішення, що проект Закону про внесення змін до деяких законодавчих актів України щодо імплементації норм міжнародного кримінального та гуманітарного</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права (реєстр. № 2689), поданий народними депутатами України Монастирським Д.А., </w:t>
      </w:r>
      <w:proofErr w:type="spellStart"/>
      <w:r>
        <w:rPr>
          <w:rFonts w:ascii="Times New Roman" w:eastAsia="Times New Roman" w:hAnsi="Times New Roman" w:cs="Times New Roman"/>
          <w:sz w:val="28"/>
          <w:szCs w:val="28"/>
        </w:rPr>
        <w:t>Бакумовим</w:t>
      </w:r>
      <w:proofErr w:type="spellEnd"/>
      <w:r>
        <w:rPr>
          <w:rFonts w:ascii="Times New Roman" w:eastAsia="Times New Roman" w:hAnsi="Times New Roman" w:cs="Times New Roman"/>
          <w:sz w:val="28"/>
          <w:szCs w:val="28"/>
        </w:rPr>
        <w:t xml:space="preserve"> О.С. та іншими, </w:t>
      </w:r>
      <w:r>
        <w:rPr>
          <w:rFonts w:ascii="Times New Roman" w:eastAsia="Times New Roman" w:hAnsi="Times New Roman" w:cs="Times New Roman"/>
          <w:b/>
          <w:sz w:val="28"/>
          <w:szCs w:val="28"/>
        </w:rPr>
        <w:t>відповідає вимогам антикорупційного законодавства</w:t>
      </w:r>
      <w:r>
        <w:rPr>
          <w:rFonts w:ascii="Times New Roman" w:eastAsia="Times New Roman" w:hAnsi="Times New Roman" w:cs="Times New Roman"/>
          <w:sz w:val="28"/>
          <w:szCs w:val="28"/>
        </w:rPr>
        <w:t>.</w:t>
      </w:r>
    </w:p>
    <w:p w:rsidR="005B55EA" w:rsidRDefault="005B55EA">
      <w:pPr>
        <w:spacing w:after="0" w:line="360" w:lineRule="auto"/>
        <w:ind w:firstLine="567"/>
        <w:jc w:val="both"/>
        <w:rPr>
          <w:rFonts w:ascii="Times New Roman" w:eastAsia="Times New Roman" w:hAnsi="Times New Roman" w:cs="Times New Roman"/>
          <w:sz w:val="28"/>
          <w:szCs w:val="28"/>
        </w:rPr>
      </w:pPr>
    </w:p>
    <w:p w:rsidR="005B55EA" w:rsidRDefault="001B7BA4">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Голова Комітету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А. </w:t>
      </w:r>
      <w:proofErr w:type="spellStart"/>
      <w:r>
        <w:rPr>
          <w:rFonts w:ascii="Times New Roman" w:eastAsia="Times New Roman" w:hAnsi="Times New Roman" w:cs="Times New Roman"/>
          <w:sz w:val="28"/>
          <w:szCs w:val="28"/>
        </w:rPr>
        <w:t>Радіна</w:t>
      </w:r>
      <w:proofErr w:type="spellEnd"/>
    </w:p>
    <w:sectPr w:rsidR="005B55EA">
      <w:headerReference w:type="default" r:id="rId7"/>
      <w:headerReference w:type="first" r:id="rId8"/>
      <w:footerReference w:type="first" r:id="rId9"/>
      <w:pgSz w:w="11906" w:h="16838"/>
      <w:pgMar w:top="1134" w:right="567" w:bottom="1134" w:left="1701" w:header="658" w:footer="42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BEC" w:rsidRDefault="00BF4BEC">
      <w:pPr>
        <w:spacing w:after="0" w:line="240" w:lineRule="auto"/>
      </w:pPr>
      <w:r>
        <w:separator/>
      </w:r>
    </w:p>
  </w:endnote>
  <w:endnote w:type="continuationSeparator" w:id="0">
    <w:p w:rsidR="00BF4BEC" w:rsidRDefault="00BF4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5EA" w:rsidRDefault="005B55EA">
    <w:pPr>
      <w:pBdr>
        <w:top w:val="nil"/>
        <w:left w:val="nil"/>
        <w:bottom w:val="nil"/>
        <w:right w:val="nil"/>
        <w:between w:val="nil"/>
      </w:pBdr>
      <w:tabs>
        <w:tab w:val="center" w:pos="4819"/>
        <w:tab w:val="right" w:pos="9639"/>
      </w:tabs>
      <w:spacing w:after="0" w:line="240" w:lineRule="auto"/>
      <w:jc w:val="center"/>
      <w:rPr>
        <w:color w:val="000000"/>
      </w:rPr>
    </w:pPr>
  </w:p>
  <w:p w:rsidR="005B55EA" w:rsidRDefault="005B55EA">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BEC" w:rsidRDefault="00BF4BEC">
      <w:pPr>
        <w:spacing w:after="0" w:line="240" w:lineRule="auto"/>
      </w:pPr>
      <w:r>
        <w:separator/>
      </w:r>
    </w:p>
  </w:footnote>
  <w:footnote w:type="continuationSeparator" w:id="0">
    <w:p w:rsidR="00BF4BEC" w:rsidRDefault="00BF4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5EA" w:rsidRDefault="001B7BA4">
    <w:pPr>
      <w:pBdr>
        <w:top w:val="nil"/>
        <w:left w:val="nil"/>
        <w:bottom w:val="nil"/>
        <w:right w:val="nil"/>
        <w:between w:val="nil"/>
      </w:pBdr>
      <w:tabs>
        <w:tab w:val="center" w:pos="4819"/>
        <w:tab w:val="right" w:pos="9639"/>
      </w:tabs>
      <w:spacing w:after="0" w:line="240" w:lineRule="auto"/>
      <w:jc w:val="center"/>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5EA" w:rsidRDefault="005B55EA">
    <w:pPr>
      <w:widowControl w:val="0"/>
      <w:pBdr>
        <w:top w:val="nil"/>
        <w:left w:val="nil"/>
        <w:bottom w:val="nil"/>
        <w:right w:val="nil"/>
        <w:between w:val="nil"/>
      </w:pBdr>
      <w:spacing w:after="0" w:line="276" w:lineRule="auto"/>
    </w:pPr>
  </w:p>
  <w:tbl>
    <w:tblPr>
      <w:tblStyle w:val="aa"/>
      <w:tblW w:w="11957" w:type="dxa"/>
      <w:tblInd w:w="-1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57"/>
    </w:tblGrid>
    <w:tr w:rsidR="005B55EA">
      <w:tc>
        <w:tcPr>
          <w:tcW w:w="11957" w:type="dxa"/>
          <w:tcBorders>
            <w:top w:val="nil"/>
            <w:left w:val="nil"/>
            <w:bottom w:val="nil"/>
            <w:right w:val="nil"/>
          </w:tcBorders>
        </w:tcPr>
        <w:p w:rsidR="005B55EA" w:rsidRDefault="005B55EA">
          <w:pPr>
            <w:pBdr>
              <w:top w:val="nil"/>
              <w:left w:val="nil"/>
              <w:bottom w:val="nil"/>
              <w:right w:val="nil"/>
              <w:between w:val="nil"/>
            </w:pBdr>
            <w:tabs>
              <w:tab w:val="center" w:pos="4819"/>
              <w:tab w:val="right" w:pos="9639"/>
            </w:tabs>
            <w:spacing w:after="0" w:line="240" w:lineRule="auto"/>
            <w:rPr>
              <w:rFonts w:ascii="Times New Roman" w:eastAsia="Times New Roman" w:hAnsi="Times New Roman" w:cs="Times New Roman"/>
              <w:color w:val="002060"/>
              <w:sz w:val="32"/>
              <w:szCs w:val="32"/>
            </w:rPr>
          </w:pPr>
        </w:p>
        <w:p w:rsidR="005B55EA" w:rsidRDefault="005B55EA">
          <w:pPr>
            <w:pBdr>
              <w:top w:val="nil"/>
              <w:left w:val="nil"/>
              <w:bottom w:val="nil"/>
              <w:right w:val="nil"/>
              <w:between w:val="nil"/>
            </w:pBdr>
            <w:tabs>
              <w:tab w:val="center" w:pos="4819"/>
              <w:tab w:val="right" w:pos="9639"/>
            </w:tabs>
            <w:spacing w:after="0" w:line="240" w:lineRule="auto"/>
            <w:rPr>
              <w:rFonts w:ascii="Times New Roman" w:eastAsia="Times New Roman" w:hAnsi="Times New Roman" w:cs="Times New Roman"/>
              <w:color w:val="002060"/>
              <w:sz w:val="32"/>
              <w:szCs w:val="32"/>
            </w:rPr>
          </w:pPr>
        </w:p>
        <w:p w:rsidR="005B55EA" w:rsidRDefault="005B55EA">
          <w:pPr>
            <w:pBdr>
              <w:top w:val="nil"/>
              <w:left w:val="nil"/>
              <w:bottom w:val="nil"/>
              <w:right w:val="nil"/>
              <w:between w:val="nil"/>
            </w:pBdr>
            <w:tabs>
              <w:tab w:val="center" w:pos="4819"/>
              <w:tab w:val="right" w:pos="9639"/>
            </w:tabs>
            <w:spacing w:after="0" w:line="240" w:lineRule="auto"/>
            <w:rPr>
              <w:rFonts w:ascii="Times New Roman" w:eastAsia="Times New Roman" w:hAnsi="Times New Roman" w:cs="Times New Roman"/>
              <w:color w:val="002060"/>
              <w:sz w:val="32"/>
              <w:szCs w:val="32"/>
            </w:rPr>
          </w:pPr>
        </w:p>
        <w:p w:rsidR="005B55EA" w:rsidRDefault="001B7BA4">
          <w:pPr>
            <w:pBdr>
              <w:top w:val="nil"/>
              <w:left w:val="nil"/>
              <w:bottom w:val="nil"/>
              <w:right w:val="nil"/>
              <w:between w:val="nil"/>
            </w:pBdr>
            <w:tabs>
              <w:tab w:val="center" w:pos="4819"/>
              <w:tab w:val="right" w:pos="9639"/>
            </w:tabs>
            <w:spacing w:before="80" w:after="0" w:line="240" w:lineRule="auto"/>
            <w:jc w:val="center"/>
            <w:rPr>
              <w:rFonts w:ascii="Times New Roman" w:eastAsia="Times New Roman" w:hAnsi="Times New Roman" w:cs="Times New Roman"/>
              <w:color w:val="1829A8"/>
              <w:sz w:val="34"/>
              <w:szCs w:val="34"/>
            </w:rPr>
          </w:pPr>
          <w:r>
            <w:rPr>
              <w:rFonts w:ascii="Times New Roman" w:eastAsia="Times New Roman" w:hAnsi="Times New Roman" w:cs="Times New Roman"/>
              <w:color w:val="1829A8"/>
              <w:sz w:val="34"/>
              <w:szCs w:val="34"/>
            </w:rPr>
            <w:t>ВЕРХОВНА РАДА УКРАЇНИ</w:t>
          </w:r>
          <w:r>
            <w:rPr>
              <w:noProof/>
            </w:rPr>
            <w:drawing>
              <wp:anchor distT="360045" distB="0" distL="114300" distR="114300" simplePos="0" relativeHeight="251658240" behindDoc="0" locked="0" layoutInCell="1" hidden="0" allowOverlap="1">
                <wp:simplePos x="0" y="0"/>
                <wp:positionH relativeFrom="column">
                  <wp:posOffset>3474084</wp:posOffset>
                </wp:positionH>
                <wp:positionV relativeFrom="paragraph">
                  <wp:posOffset>-801369</wp:posOffset>
                </wp:positionV>
                <wp:extent cx="461010" cy="636905"/>
                <wp:effectExtent l="0" t="0" r="0" b="0"/>
                <wp:wrapSquare wrapText="bothSides" distT="360045"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61010" cy="636905"/>
                        </a:xfrm>
                        <a:prstGeom prst="rect">
                          <a:avLst/>
                        </a:prstGeom>
                        <a:ln/>
                      </pic:spPr>
                    </pic:pic>
                  </a:graphicData>
                </a:graphic>
              </wp:anchor>
            </w:drawing>
          </w:r>
        </w:p>
        <w:p w:rsidR="005B55EA" w:rsidRDefault="001B7BA4">
          <w:pPr>
            <w:pBdr>
              <w:top w:val="nil"/>
              <w:left w:val="nil"/>
              <w:bottom w:val="nil"/>
              <w:right w:val="nil"/>
              <w:between w:val="nil"/>
            </w:pBdr>
            <w:tabs>
              <w:tab w:val="center" w:pos="4819"/>
              <w:tab w:val="right" w:pos="9639"/>
            </w:tabs>
            <w:spacing w:before="100" w:after="0" w:line="240" w:lineRule="auto"/>
            <w:jc w:val="center"/>
            <w:rPr>
              <w:rFonts w:ascii="Times New Roman" w:eastAsia="Times New Roman" w:hAnsi="Times New Roman" w:cs="Times New Roman"/>
              <w:b/>
              <w:color w:val="1829A8"/>
              <w:sz w:val="24"/>
              <w:szCs w:val="24"/>
            </w:rPr>
          </w:pPr>
          <w:r>
            <w:rPr>
              <w:rFonts w:ascii="Times New Roman" w:eastAsia="Times New Roman" w:hAnsi="Times New Roman" w:cs="Times New Roman"/>
              <w:b/>
              <w:color w:val="1829A8"/>
              <w:sz w:val="24"/>
              <w:szCs w:val="24"/>
            </w:rPr>
            <w:t>Комітет з питань антикорупційної політики</w:t>
          </w:r>
        </w:p>
        <w:p w:rsidR="005B55EA" w:rsidRDefault="001B7BA4">
          <w:pPr>
            <w:pBdr>
              <w:top w:val="nil"/>
              <w:left w:val="nil"/>
              <w:bottom w:val="nil"/>
              <w:right w:val="nil"/>
              <w:between w:val="nil"/>
            </w:pBdr>
            <w:tabs>
              <w:tab w:val="center" w:pos="4819"/>
              <w:tab w:val="right" w:pos="9639"/>
            </w:tabs>
            <w:spacing w:before="160" w:after="60" w:line="240" w:lineRule="auto"/>
            <w:jc w:val="center"/>
            <w:rPr>
              <w:color w:val="002060"/>
              <w:sz w:val="20"/>
              <w:szCs w:val="20"/>
            </w:rPr>
          </w:pPr>
          <w:r>
            <w:rPr>
              <w:rFonts w:ascii="Times New Roman" w:eastAsia="Times New Roman" w:hAnsi="Times New Roman" w:cs="Times New Roman"/>
              <w:color w:val="1829A8"/>
              <w:sz w:val="20"/>
              <w:szCs w:val="20"/>
            </w:rPr>
            <w:t xml:space="preserve">01008, м.Київ-8, вул. М. Грушевського, 5, </w:t>
          </w:r>
          <w:proofErr w:type="spellStart"/>
          <w:r>
            <w:rPr>
              <w:rFonts w:ascii="Times New Roman" w:eastAsia="Times New Roman" w:hAnsi="Times New Roman" w:cs="Times New Roman"/>
              <w:color w:val="1829A8"/>
              <w:sz w:val="20"/>
              <w:szCs w:val="20"/>
            </w:rPr>
            <w:t>тел</w:t>
          </w:r>
          <w:proofErr w:type="spellEnd"/>
          <w:r>
            <w:rPr>
              <w:rFonts w:ascii="Times New Roman" w:eastAsia="Times New Roman" w:hAnsi="Times New Roman" w:cs="Times New Roman"/>
              <w:color w:val="1829A8"/>
              <w:sz w:val="20"/>
              <w:szCs w:val="20"/>
            </w:rPr>
            <w:t>.: (044) 255-35-03,  e-</w:t>
          </w:r>
          <w:proofErr w:type="spellStart"/>
          <w:r>
            <w:rPr>
              <w:rFonts w:ascii="Times New Roman" w:eastAsia="Times New Roman" w:hAnsi="Times New Roman" w:cs="Times New Roman"/>
              <w:color w:val="1829A8"/>
              <w:sz w:val="20"/>
              <w:szCs w:val="20"/>
            </w:rPr>
            <w:t>mail</w:t>
          </w:r>
          <w:proofErr w:type="spellEnd"/>
          <w:r>
            <w:rPr>
              <w:rFonts w:ascii="Times New Roman" w:eastAsia="Times New Roman" w:hAnsi="Times New Roman" w:cs="Times New Roman"/>
              <w:color w:val="1829A8"/>
              <w:sz w:val="20"/>
              <w:szCs w:val="20"/>
            </w:rPr>
            <w:t>: crimecor@rada.gov.ua</w:t>
          </w:r>
        </w:p>
      </w:tc>
    </w:tr>
  </w:tbl>
  <w:p w:rsidR="005B55EA" w:rsidRDefault="005B55EA">
    <w:pPr>
      <w:widowControl w:val="0"/>
      <w:pBdr>
        <w:top w:val="nil"/>
        <w:left w:val="nil"/>
        <w:bottom w:val="nil"/>
        <w:right w:val="nil"/>
        <w:between w:val="nil"/>
      </w:pBdr>
      <w:spacing w:after="0" w:line="276" w:lineRule="auto"/>
      <w:rPr>
        <w:color w:val="002060"/>
        <w:sz w:val="20"/>
        <w:szCs w:val="20"/>
      </w:rPr>
    </w:pPr>
  </w:p>
  <w:tbl>
    <w:tblPr>
      <w:tblStyle w:val="ab"/>
      <w:tblW w:w="11886" w:type="dxa"/>
      <w:tblInd w:w="-1680" w:type="dxa"/>
      <w:tblBorders>
        <w:top w:val="single" w:sz="12" w:space="0" w:color="0033CC"/>
        <w:left w:val="nil"/>
        <w:bottom w:val="nil"/>
        <w:right w:val="nil"/>
        <w:insideH w:val="nil"/>
        <w:insideV w:val="nil"/>
      </w:tblBorders>
      <w:tblLayout w:type="fixed"/>
      <w:tblLook w:val="0400" w:firstRow="0" w:lastRow="0" w:firstColumn="0" w:lastColumn="0" w:noHBand="0" w:noVBand="1"/>
    </w:tblPr>
    <w:tblGrid>
      <w:gridCol w:w="1087"/>
      <w:gridCol w:w="9713"/>
      <w:gridCol w:w="1086"/>
    </w:tblGrid>
    <w:tr w:rsidR="005B55EA">
      <w:tc>
        <w:tcPr>
          <w:tcW w:w="1087" w:type="dxa"/>
          <w:tcBorders>
            <w:top w:val="nil"/>
          </w:tcBorders>
        </w:tcPr>
        <w:p w:rsidR="005B55EA" w:rsidRDefault="005B55EA">
          <w:pPr>
            <w:pBdr>
              <w:top w:val="nil"/>
              <w:left w:val="nil"/>
              <w:bottom w:val="nil"/>
              <w:right w:val="nil"/>
              <w:between w:val="nil"/>
            </w:pBdr>
            <w:tabs>
              <w:tab w:val="center" w:pos="4819"/>
              <w:tab w:val="right" w:pos="9639"/>
            </w:tabs>
            <w:rPr>
              <w:rFonts w:ascii="Times New Roman" w:eastAsia="Times New Roman" w:hAnsi="Times New Roman" w:cs="Times New Roman"/>
              <w:color w:val="002060"/>
              <w:sz w:val="22"/>
              <w:szCs w:val="22"/>
            </w:rPr>
          </w:pPr>
        </w:p>
      </w:tc>
      <w:tc>
        <w:tcPr>
          <w:tcW w:w="9714" w:type="dxa"/>
        </w:tcPr>
        <w:p w:rsidR="005B55EA" w:rsidRDefault="005B55EA">
          <w:pPr>
            <w:pBdr>
              <w:top w:val="nil"/>
              <w:left w:val="nil"/>
              <w:bottom w:val="nil"/>
              <w:right w:val="nil"/>
              <w:between w:val="nil"/>
            </w:pBdr>
            <w:tabs>
              <w:tab w:val="center" w:pos="4819"/>
              <w:tab w:val="right" w:pos="9639"/>
            </w:tabs>
            <w:rPr>
              <w:rFonts w:ascii="Times New Roman" w:eastAsia="Times New Roman" w:hAnsi="Times New Roman" w:cs="Times New Roman"/>
              <w:color w:val="002060"/>
              <w:sz w:val="22"/>
              <w:szCs w:val="22"/>
            </w:rPr>
          </w:pPr>
        </w:p>
      </w:tc>
      <w:tc>
        <w:tcPr>
          <w:tcW w:w="1086" w:type="dxa"/>
          <w:tcBorders>
            <w:top w:val="nil"/>
          </w:tcBorders>
        </w:tcPr>
        <w:p w:rsidR="005B55EA" w:rsidRDefault="005B55EA">
          <w:pPr>
            <w:pBdr>
              <w:top w:val="nil"/>
              <w:left w:val="nil"/>
              <w:bottom w:val="nil"/>
              <w:right w:val="nil"/>
              <w:between w:val="nil"/>
            </w:pBdr>
            <w:tabs>
              <w:tab w:val="center" w:pos="4819"/>
              <w:tab w:val="right" w:pos="9639"/>
            </w:tabs>
            <w:rPr>
              <w:rFonts w:ascii="Times New Roman" w:eastAsia="Times New Roman" w:hAnsi="Times New Roman" w:cs="Times New Roman"/>
              <w:color w:val="002060"/>
              <w:sz w:val="22"/>
              <w:szCs w:val="22"/>
            </w:rPr>
          </w:pPr>
        </w:p>
      </w:tc>
    </w:tr>
  </w:tbl>
  <w:p w:rsidR="005B55EA" w:rsidRDefault="005B55EA">
    <w:pPr>
      <w:pBdr>
        <w:top w:val="nil"/>
        <w:left w:val="nil"/>
        <w:bottom w:val="nil"/>
        <w:right w:val="nil"/>
        <w:between w:val="nil"/>
      </w:pBdr>
      <w:tabs>
        <w:tab w:val="center" w:pos="4819"/>
        <w:tab w:val="right" w:pos="9639"/>
      </w:tabs>
      <w:spacing w:after="0" w:line="240" w:lineRule="auto"/>
      <w:rPr>
        <w:rFonts w:ascii="Times New Roman" w:eastAsia="Times New Roman" w:hAnsi="Times New Roman" w:cs="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EA"/>
    <w:rsid w:val="000A099A"/>
    <w:rsid w:val="001B7BA4"/>
    <w:rsid w:val="002C6015"/>
    <w:rsid w:val="003E7FB6"/>
    <w:rsid w:val="005B55EA"/>
    <w:rsid w:val="00AC1A98"/>
    <w:rsid w:val="00BF4B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4468C-BBE7-491D-90B4-A41E55A4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E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semiHidden/>
    <w:unhideWhenUsed/>
    <w:rsid w:val="00D47E4E"/>
    <w:pPr>
      <w:tabs>
        <w:tab w:val="center" w:pos="4819"/>
        <w:tab w:val="right" w:pos="9639"/>
      </w:tabs>
      <w:spacing w:after="0" w:line="240" w:lineRule="auto"/>
    </w:pPr>
  </w:style>
  <w:style w:type="character" w:customStyle="1" w:styleId="a5">
    <w:name w:val="Верхній колонтитул Знак"/>
    <w:basedOn w:val="a0"/>
    <w:link w:val="a4"/>
    <w:uiPriority w:val="99"/>
    <w:semiHidden/>
    <w:rsid w:val="00D47E4E"/>
  </w:style>
  <w:style w:type="paragraph" w:styleId="a6">
    <w:name w:val="footer"/>
    <w:basedOn w:val="a"/>
    <w:link w:val="a7"/>
    <w:uiPriority w:val="99"/>
    <w:semiHidden/>
    <w:unhideWhenUsed/>
    <w:rsid w:val="00D47E4E"/>
    <w:pPr>
      <w:tabs>
        <w:tab w:val="center" w:pos="4819"/>
        <w:tab w:val="right" w:pos="9639"/>
      </w:tabs>
      <w:spacing w:after="0" w:line="240" w:lineRule="auto"/>
    </w:pPr>
  </w:style>
  <w:style w:type="character" w:customStyle="1" w:styleId="a7">
    <w:name w:val="Нижній колонтитул Знак"/>
    <w:basedOn w:val="a0"/>
    <w:link w:val="a6"/>
    <w:uiPriority w:val="99"/>
    <w:semiHidden/>
    <w:rsid w:val="00D47E4E"/>
  </w:style>
  <w:style w:type="table" w:styleId="a8">
    <w:name w:val="Table Grid"/>
    <w:basedOn w:val="a1"/>
    <w:uiPriority w:val="99"/>
    <w:rsid w:val="00D47E4E"/>
    <w:pPr>
      <w:spacing w:after="0" w:line="240" w:lineRule="auto"/>
    </w:pPr>
    <w:rPr>
      <w:rFont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BL2YEMOtFiQZ+BmnEodbLOtz4w==">AMUW2mURO6AWWVJHEYKUkBejMTuDSanOMFGpT4/JmF4rlE5FE5t4WbyfIt0ZnwgwNGWHWj3XXqVguc730lkhfN1CbjhHEREXCCoAyzEZqFSR64M9WpbMjuRtaKHeOeVQB0EmXs5Ye00L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1808</Words>
  <Characters>1031</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Желих Наталія Михайлівна</dc:creator>
  <cp:lastModifiedBy>Чілікіна Алла Василівна</cp:lastModifiedBy>
  <cp:revision>4</cp:revision>
  <dcterms:created xsi:type="dcterms:W3CDTF">2020-09-17T06:39:00Z</dcterms:created>
  <dcterms:modified xsi:type="dcterms:W3CDTF">2020-09-17T06:48:00Z</dcterms:modified>
</cp:coreProperties>
</file>