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C870" w14:textId="117D31BA" w:rsidR="000D0244" w:rsidRPr="0021269C" w:rsidRDefault="000D0244" w:rsidP="000D0244">
      <w:pPr>
        <w:spacing w:line="276" w:lineRule="auto"/>
        <w:jc w:val="right"/>
        <w:outlineLvl w:val="1"/>
        <w:rPr>
          <w:rFonts w:eastAsia="Times New Roman"/>
          <w:b/>
          <w:color w:val="2A2928"/>
          <w:sz w:val="30"/>
          <w:szCs w:val="30"/>
          <w:lang w:val="uk-UA"/>
        </w:rPr>
      </w:pPr>
      <w:bookmarkStart w:id="0" w:name="_GoBack"/>
      <w:bookmarkEnd w:id="0"/>
      <w:r w:rsidRPr="0021269C">
        <w:rPr>
          <w:rFonts w:eastAsia="Times New Roman"/>
          <w:b/>
          <w:color w:val="2A2928"/>
          <w:sz w:val="30"/>
          <w:szCs w:val="30"/>
          <w:lang w:val="uk-UA"/>
        </w:rPr>
        <w:t>ПРОЕКТ</w:t>
      </w:r>
    </w:p>
    <w:p w14:paraId="56F3B500" w14:textId="3107991D" w:rsidR="000D0244" w:rsidRPr="0021269C" w:rsidRDefault="000D0244" w:rsidP="000D0244">
      <w:pPr>
        <w:spacing w:before="240"/>
        <w:jc w:val="center"/>
        <w:outlineLvl w:val="1"/>
        <w:rPr>
          <w:rFonts w:eastAsia="Times New Roman"/>
          <w:b/>
          <w:color w:val="2A2928"/>
          <w:sz w:val="30"/>
          <w:szCs w:val="30"/>
          <w:lang w:val="uk-UA"/>
        </w:rPr>
      </w:pPr>
      <w:r w:rsidRPr="0021269C">
        <w:rPr>
          <w:rFonts w:eastAsia="Times New Roman"/>
          <w:b/>
          <w:color w:val="2A2928"/>
          <w:sz w:val="30"/>
          <w:szCs w:val="30"/>
          <w:lang w:val="uk-UA"/>
        </w:rPr>
        <w:t>Заява Верховної Ради України</w:t>
      </w:r>
      <w:r w:rsidRPr="0021269C">
        <w:rPr>
          <w:rFonts w:eastAsia="Times New Roman"/>
          <w:b/>
          <w:color w:val="2A2928"/>
          <w:sz w:val="30"/>
          <w:szCs w:val="30"/>
          <w:lang w:val="uk-UA"/>
        </w:rPr>
        <w:br/>
      </w:r>
      <w:r w:rsidRPr="0021269C">
        <w:rPr>
          <w:rFonts w:eastAsia="Times New Roman"/>
          <w:color w:val="2A2928"/>
          <w:sz w:val="30"/>
          <w:szCs w:val="30"/>
          <w:lang w:val="uk-UA"/>
        </w:rPr>
        <w:t xml:space="preserve">Щодо </w:t>
      </w: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кримінального переслідування старшого сержанта Національної гвардії України Віталія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 в Італійській Республіці</w:t>
      </w:r>
    </w:p>
    <w:p w14:paraId="15D10738" w14:textId="77777777" w:rsidR="000D0244" w:rsidRPr="0021269C" w:rsidRDefault="000D0244" w:rsidP="000D0244">
      <w:pPr>
        <w:spacing w:after="240"/>
        <w:ind w:firstLine="709"/>
        <w:jc w:val="both"/>
        <w:outlineLvl w:val="1"/>
        <w:rPr>
          <w:rFonts w:eastAsia="Times New Roman"/>
          <w:color w:val="2A2928"/>
          <w:sz w:val="28"/>
          <w:szCs w:val="28"/>
          <w:lang w:val="uk-UA"/>
        </w:rPr>
      </w:pPr>
    </w:p>
    <w:p w14:paraId="510A53AF" w14:textId="29EF8B2F" w:rsidR="000D0244" w:rsidRPr="0021269C" w:rsidRDefault="000D0244" w:rsidP="0021269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</w:pP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Верховна Ради України з розчаруванням і глибокою стурбованістю сприйняла рішення суду міста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Павія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(регіон Ломбардія, Італійська Республіка) від 12.07.2019 стосовно громадянина України Віталія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.</w:t>
      </w:r>
    </w:p>
    <w:p w14:paraId="7548DD3C" w14:textId="65BB5321" w:rsidR="000D0244" w:rsidRPr="0021269C" w:rsidRDefault="000D0244" w:rsidP="0021269C">
      <w:pPr>
        <w:spacing w:after="240"/>
        <w:ind w:firstLine="709"/>
        <w:jc w:val="both"/>
        <w:rPr>
          <w:rFonts w:eastAsia="Times New Roman"/>
          <w:color w:val="2A2928"/>
          <w:sz w:val="30"/>
          <w:szCs w:val="30"/>
          <w:lang w:val="uk-UA"/>
        </w:rPr>
      </w:pPr>
      <w:r w:rsidRPr="0021269C">
        <w:rPr>
          <w:rFonts w:eastAsia="Times New Roman"/>
          <w:color w:val="2A2928"/>
          <w:sz w:val="30"/>
          <w:szCs w:val="30"/>
          <w:lang w:val="uk-UA"/>
        </w:rPr>
        <w:t>Верховна Рада України,</w:t>
      </w:r>
    </w:p>
    <w:p w14:paraId="75847F7F" w14:textId="698BF128" w:rsidR="000D0244" w:rsidRPr="0021269C" w:rsidRDefault="000D0244" w:rsidP="0021269C">
      <w:pPr>
        <w:spacing w:after="240"/>
        <w:ind w:firstLine="709"/>
        <w:jc w:val="both"/>
        <w:rPr>
          <w:rFonts w:eastAsia="Times New Roman"/>
          <w:color w:val="2A2928"/>
          <w:sz w:val="30"/>
          <w:szCs w:val="30"/>
          <w:lang w:val="uk-UA"/>
        </w:rPr>
      </w:pPr>
      <w:r w:rsidRPr="0021269C">
        <w:rPr>
          <w:rFonts w:eastAsia="Times New Roman"/>
          <w:color w:val="2A2928"/>
          <w:sz w:val="30"/>
          <w:szCs w:val="30"/>
          <w:lang w:val="uk-UA"/>
        </w:rPr>
        <w:t xml:space="preserve">відстоюючи право всіх громадян України бути захищеними державою, керуючись Конституцією та законодавством України, спираючись на </w:t>
      </w:r>
      <w:r w:rsidR="00250D34" w:rsidRPr="006F1736">
        <w:rPr>
          <w:rFonts w:eastAsia="Times New Roman"/>
          <w:color w:val="000000" w:themeColor="text1"/>
          <w:sz w:val="30"/>
          <w:szCs w:val="30"/>
          <w:lang w:val="uk-UA"/>
        </w:rPr>
        <w:t xml:space="preserve">основні </w:t>
      </w:r>
      <w:r w:rsidRPr="006F1736">
        <w:rPr>
          <w:rFonts w:eastAsia="Times New Roman"/>
          <w:color w:val="000000" w:themeColor="text1"/>
          <w:sz w:val="30"/>
          <w:szCs w:val="30"/>
          <w:lang w:val="uk-UA"/>
        </w:rPr>
        <w:t>принципи міжнародного права</w:t>
      </w:r>
      <w:r w:rsidRPr="0021269C">
        <w:rPr>
          <w:rFonts w:eastAsia="Times New Roman"/>
          <w:color w:val="2A2928"/>
          <w:sz w:val="30"/>
          <w:szCs w:val="30"/>
          <w:lang w:val="uk-UA"/>
        </w:rPr>
        <w:t xml:space="preserve">, а також на </w:t>
      </w:r>
      <w:r w:rsidRPr="006F1736">
        <w:rPr>
          <w:rFonts w:eastAsia="Times New Roman"/>
          <w:color w:val="000000" w:themeColor="text1"/>
          <w:sz w:val="30"/>
          <w:szCs w:val="30"/>
          <w:lang w:val="uk-UA"/>
        </w:rPr>
        <w:t>конвенції</w:t>
      </w:r>
      <w:r w:rsidRPr="00250D34">
        <w:rPr>
          <w:rFonts w:eastAsia="Times New Roman"/>
          <w:color w:val="FF0000"/>
          <w:sz w:val="30"/>
          <w:szCs w:val="30"/>
          <w:lang w:val="uk-UA"/>
        </w:rPr>
        <w:t xml:space="preserve"> </w:t>
      </w:r>
      <w:r w:rsidRPr="0021269C">
        <w:rPr>
          <w:rFonts w:eastAsia="Times New Roman"/>
          <w:color w:val="2A2928"/>
          <w:sz w:val="30"/>
          <w:szCs w:val="30"/>
          <w:lang w:val="uk-UA"/>
        </w:rPr>
        <w:t>ООН про юрисдикційні імунітети держав та їхньої власності 2004 року,</w:t>
      </w:r>
    </w:p>
    <w:p w14:paraId="771C1F59" w14:textId="77777777" w:rsidR="000D0244" w:rsidRPr="0021269C" w:rsidRDefault="000D0244" w:rsidP="0021269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</w:pP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вважає, що справа Віталія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продемонструвала очевидні порушення принципів верховенства права, гарантій на справедливий суд та одного з ключових принципів кримінального процесу – презумпції невинуватості, </w:t>
      </w:r>
    </w:p>
    <w:p w14:paraId="0CEB8F0C" w14:textId="77777777" w:rsidR="000D0244" w:rsidRPr="0021269C" w:rsidRDefault="000D0244" w:rsidP="0021269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</w:pP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звертає увагу, що процес проходив у глибоко антиукраїнській атмосфері, докази сторони обвинувачення базувалися на чутках та упередженнях, суд відхилив запит на проведення огляду місця події на горі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Карачун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(поданий захистом B. </w:t>
      </w:r>
      <w:proofErr w:type="spellStart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), а ймовірна причетність російської та проросійської сторони, присутніх там під час трагедії, не розслідувалась, </w:t>
      </w:r>
    </w:p>
    <w:p w14:paraId="43DB809F" w14:textId="77777777" w:rsidR="000D0244" w:rsidRPr="0021269C" w:rsidRDefault="000D0244" w:rsidP="0021269C">
      <w:pPr>
        <w:pStyle w:val="a5"/>
        <w:shd w:val="clear" w:color="auto" w:fill="FFFFFF"/>
        <w:spacing w:before="90" w:beforeAutospacing="0" w:after="240" w:afterAutospacing="0"/>
        <w:ind w:firstLine="709"/>
        <w:jc w:val="both"/>
        <w:rPr>
          <w:color w:val="1D2129"/>
          <w:sz w:val="30"/>
          <w:szCs w:val="30"/>
          <w:lang w:val="uk-UA"/>
        </w:rPr>
      </w:pPr>
      <w:r w:rsidRPr="0021269C">
        <w:rPr>
          <w:color w:val="1D2129"/>
          <w:sz w:val="30"/>
          <w:szCs w:val="30"/>
          <w:lang w:val="uk-UA"/>
        </w:rPr>
        <w:t xml:space="preserve">  наголошує на тому, що під час судового розгляду не було надано чітких однозначних доказів вини українських військових, взагалі, чи Віталія </w:t>
      </w:r>
      <w:proofErr w:type="spellStart"/>
      <w:r w:rsidRPr="0021269C">
        <w:rPr>
          <w:color w:val="1D2129"/>
          <w:sz w:val="30"/>
          <w:szCs w:val="30"/>
          <w:lang w:val="uk-UA"/>
        </w:rPr>
        <w:t>Марківа</w:t>
      </w:r>
      <w:proofErr w:type="spellEnd"/>
      <w:r w:rsidRPr="0021269C">
        <w:rPr>
          <w:color w:val="1D2129"/>
          <w:sz w:val="30"/>
          <w:szCs w:val="30"/>
          <w:lang w:val="uk-UA"/>
        </w:rPr>
        <w:t>, зокрема,</w:t>
      </w:r>
    </w:p>
    <w:p w14:paraId="56E2359E" w14:textId="38AF7D46" w:rsidR="000D0244" w:rsidRPr="0021269C" w:rsidRDefault="000D0244" w:rsidP="0021269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</w:pPr>
      <w:r w:rsidRPr="0021269C">
        <w:rPr>
          <w:color w:val="1D2129"/>
          <w:sz w:val="30"/>
          <w:szCs w:val="30"/>
          <w:lang w:val="uk-UA"/>
        </w:rPr>
        <w:t xml:space="preserve">протестує проти </w:t>
      </w: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звинувачення України у порушенні міжнародного гуманітарного права та залучення Української держави до згаданої справи як цивільного відповідача, адже це протирічить</w:t>
      </w:r>
      <w:r w:rsidR="00250D34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</w:t>
      </w:r>
      <w:r w:rsidR="00250D34" w:rsidRPr="006F1736">
        <w:rPr>
          <w:rFonts w:eastAsia="Times New Roman"/>
          <w:color w:val="000000" w:themeColor="text1"/>
          <w:sz w:val="30"/>
          <w:szCs w:val="30"/>
          <w:bdr w:val="none" w:sz="0" w:space="0" w:color="auto" w:frame="1"/>
          <w:lang w:val="uk-UA" w:eastAsia="uk-UA"/>
        </w:rPr>
        <w:t>основним</w:t>
      </w:r>
      <w:r w:rsidRPr="006F1736">
        <w:rPr>
          <w:rFonts w:eastAsia="Times New Roman"/>
          <w:color w:val="000000" w:themeColor="text1"/>
          <w:sz w:val="30"/>
          <w:szCs w:val="30"/>
          <w:bdr w:val="none" w:sz="0" w:space="0" w:color="auto" w:frame="1"/>
          <w:lang w:val="uk-UA" w:eastAsia="uk-UA"/>
        </w:rPr>
        <w:t xml:space="preserve"> принципам міжнародного права </w:t>
      </w: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щодо юрисдикційних імунітетів іноземних держав,</w:t>
      </w:r>
    </w:p>
    <w:p w14:paraId="6B0BF54D" w14:textId="2EB31A18" w:rsidR="000D0244" w:rsidRPr="0021269C" w:rsidRDefault="000D0244" w:rsidP="0021269C">
      <w:pPr>
        <w:pStyle w:val="a5"/>
        <w:shd w:val="clear" w:color="auto" w:fill="FFFFFF"/>
        <w:spacing w:before="90" w:beforeAutospacing="0" w:after="240" w:afterAutospacing="0"/>
        <w:ind w:firstLine="709"/>
        <w:jc w:val="both"/>
        <w:rPr>
          <w:color w:val="1D2129"/>
          <w:sz w:val="30"/>
          <w:szCs w:val="30"/>
          <w:lang w:val="uk-UA"/>
        </w:rPr>
      </w:pPr>
      <w:r w:rsidRPr="0021269C">
        <w:rPr>
          <w:color w:val="1D2129"/>
          <w:sz w:val="30"/>
          <w:szCs w:val="30"/>
          <w:lang w:val="uk-UA"/>
        </w:rPr>
        <w:t xml:space="preserve"> </w:t>
      </w:r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t xml:space="preserve">категорично засуджує використання неприйнятних формулювань в матеріалах </w:t>
      </w:r>
      <w:proofErr w:type="spellStart"/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t>вироку</w:t>
      </w:r>
      <w:proofErr w:type="spellEnd"/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t xml:space="preserve">, згідно яких українська армія є «повсталими </w:t>
      </w:r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lastRenderedPageBreak/>
        <w:t>українцями, що захопили «</w:t>
      </w:r>
      <w:proofErr w:type="spellStart"/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t>Карачун</w:t>
      </w:r>
      <w:proofErr w:type="spellEnd"/>
      <w:r w:rsidRPr="0021269C">
        <w:rPr>
          <w:rFonts w:eastAsia="Times New Roman"/>
          <w:color w:val="000000" w:themeColor="text1"/>
          <w:sz w:val="30"/>
          <w:szCs w:val="30"/>
          <w:lang w:val="uk-UA"/>
        </w:rPr>
        <w:t>», стверджується, що «стріляти по цивільних було звичним способом дій української армії та НГУ», а військові дії на Сході України називаються «триваючою громадянською війною».</w:t>
      </w:r>
    </w:p>
    <w:p w14:paraId="41A73BB7" w14:textId="29079415" w:rsidR="000D0244" w:rsidRPr="0021269C" w:rsidRDefault="000D0244" w:rsidP="0021269C">
      <w:pPr>
        <w:spacing w:after="240"/>
        <w:ind w:firstLine="709"/>
        <w:jc w:val="both"/>
        <w:rPr>
          <w:rFonts w:eastAsia="Times New Roman"/>
          <w:bCs/>
          <w:color w:val="2A2928"/>
          <w:sz w:val="30"/>
          <w:szCs w:val="30"/>
          <w:lang w:val="uk-UA"/>
        </w:rPr>
      </w:pPr>
      <w:r w:rsidRPr="0021269C">
        <w:rPr>
          <w:rFonts w:eastAsia="Times New Roman"/>
          <w:bCs/>
          <w:color w:val="2A2928"/>
          <w:sz w:val="30"/>
          <w:szCs w:val="30"/>
          <w:lang w:val="uk-UA"/>
        </w:rPr>
        <w:t>Верховна Рада України постановляє:</w:t>
      </w:r>
    </w:p>
    <w:p w14:paraId="79AA8B97" w14:textId="1E9A42B1" w:rsidR="000D0244" w:rsidRPr="0021269C" w:rsidRDefault="0021269C" w:rsidP="0021269C">
      <w:pPr>
        <w:spacing w:after="240"/>
        <w:ind w:firstLine="709"/>
        <w:jc w:val="both"/>
        <w:rPr>
          <w:sz w:val="30"/>
          <w:szCs w:val="30"/>
          <w:lang w:val="uk-UA"/>
        </w:rPr>
      </w:pPr>
      <w:r w:rsidRPr="0021269C">
        <w:rPr>
          <w:sz w:val="30"/>
          <w:szCs w:val="30"/>
          <w:lang w:val="uk-UA"/>
        </w:rPr>
        <w:t>П</w:t>
      </w:r>
      <w:r w:rsidR="000D0244" w:rsidRPr="0021269C">
        <w:rPr>
          <w:sz w:val="30"/>
          <w:szCs w:val="30"/>
          <w:lang w:val="uk-UA"/>
        </w:rPr>
        <w:t xml:space="preserve">оважаючи незалежність та авторитетність судової гілки влади Італійської Республіки, зауважуючи, що рішення суду порушує права військовослужбовця України та наносить шкоду іміджу нашої держави, дати наступну політичну оцінку такому рішенню: “Верховна Рада України вважає рішення </w:t>
      </w:r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суду міста </w:t>
      </w:r>
      <w:proofErr w:type="spellStart"/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Павія</w:t>
      </w:r>
      <w:proofErr w:type="spellEnd"/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(регіон Ломбардія, Італійська Республіка) від 12.07.2019 стосовно громадянина України Віталія </w:t>
      </w:r>
      <w:proofErr w:type="spellStart"/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="000D0244" w:rsidRPr="0021269C">
        <w:rPr>
          <w:sz w:val="30"/>
          <w:szCs w:val="30"/>
          <w:lang w:val="uk-UA"/>
        </w:rPr>
        <w:t xml:space="preserve"> таким, що наносить шкоду суверенним правам Держави Україна”,</w:t>
      </w:r>
    </w:p>
    <w:p w14:paraId="1EBA0F0D" w14:textId="37C668CC" w:rsidR="000D0244" w:rsidRPr="0021269C" w:rsidRDefault="0021269C" w:rsidP="0021269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</w:pPr>
      <w:r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З</w:t>
      </w:r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вернутись до Президента Італійської Республіки спільно з Парламентом Республіки з проханням </w:t>
      </w:r>
      <w:r w:rsidR="004B6FA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в рамках своїх </w:t>
      </w:r>
      <w:r w:rsidR="00730BDA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повноважень </w:t>
      </w:r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 xml:space="preserve"> забезпечити прозорість, об’єктивність та неупередженість апеляційного провадження стосовно Віталія </w:t>
      </w:r>
      <w:proofErr w:type="spellStart"/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Марківа</w:t>
      </w:r>
      <w:proofErr w:type="spellEnd"/>
      <w:r w:rsidR="000D0244" w:rsidRPr="0021269C">
        <w:rPr>
          <w:rFonts w:eastAsia="Times New Roman"/>
          <w:sz w:val="30"/>
          <w:szCs w:val="30"/>
          <w:bdr w:val="none" w:sz="0" w:space="0" w:color="auto" w:frame="1"/>
          <w:lang w:val="uk-UA" w:eastAsia="uk-UA"/>
        </w:rPr>
        <w:t>.</w:t>
      </w:r>
    </w:p>
    <w:p w14:paraId="62E02E7A" w14:textId="77777777" w:rsidR="000D0244" w:rsidRPr="0021269C" w:rsidRDefault="000D0244" w:rsidP="0021269C">
      <w:pPr>
        <w:jc w:val="both"/>
        <w:rPr>
          <w:sz w:val="30"/>
          <w:szCs w:val="30"/>
          <w:lang w:val="uk-UA"/>
        </w:rPr>
      </w:pPr>
    </w:p>
    <w:p w14:paraId="703DAB51" w14:textId="77777777" w:rsidR="0021269C" w:rsidRPr="0021269C" w:rsidRDefault="0021269C" w:rsidP="0021269C">
      <w:pPr>
        <w:shd w:val="clear" w:color="auto" w:fill="FFFFFF"/>
        <w:spacing w:after="240"/>
        <w:jc w:val="both"/>
        <w:textAlignment w:val="baseline"/>
        <w:rPr>
          <w:b/>
          <w:bCs/>
          <w:sz w:val="30"/>
          <w:szCs w:val="30"/>
          <w:lang w:val="uk-UA"/>
        </w:rPr>
      </w:pPr>
    </w:p>
    <w:p w14:paraId="706FC0A7" w14:textId="77777777" w:rsidR="00A50038" w:rsidRDefault="0021269C" w:rsidP="00A50038">
      <w:pPr>
        <w:spacing w:line="360" w:lineRule="atLeast"/>
        <w:rPr>
          <w:b/>
          <w:bCs/>
          <w:sz w:val="30"/>
          <w:szCs w:val="30"/>
          <w:lang w:val="uk-UA"/>
        </w:rPr>
      </w:pPr>
      <w:r w:rsidRPr="0021269C">
        <w:rPr>
          <w:b/>
          <w:bCs/>
          <w:sz w:val="30"/>
          <w:szCs w:val="30"/>
          <w:lang w:val="uk-UA"/>
        </w:rPr>
        <w:t>Народні депутати України</w:t>
      </w:r>
      <w:r w:rsidR="00A50038">
        <w:rPr>
          <w:b/>
          <w:bCs/>
          <w:sz w:val="30"/>
          <w:szCs w:val="30"/>
          <w:lang w:val="uk-UA"/>
        </w:rPr>
        <w:t xml:space="preserve">                                                                             </w:t>
      </w:r>
    </w:p>
    <w:p w14:paraId="3C3B8D46" w14:textId="77777777" w:rsidR="00A50038" w:rsidRDefault="00A50038" w:rsidP="00A50038">
      <w:pPr>
        <w:spacing w:line="360" w:lineRule="atLeast"/>
        <w:rPr>
          <w:b/>
          <w:bCs/>
          <w:sz w:val="30"/>
          <w:szCs w:val="30"/>
          <w:lang w:val="uk-UA"/>
        </w:rPr>
      </w:pPr>
    </w:p>
    <w:p w14:paraId="10DF1189" w14:textId="77777777" w:rsidR="00AA51DA" w:rsidRDefault="00AA51DA" w:rsidP="00AA51DA">
      <w:pPr>
        <w:spacing w:line="360" w:lineRule="atLeast"/>
        <w:ind w:left="6379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>Чернєв Є.В.</w:t>
      </w:r>
    </w:p>
    <w:p w14:paraId="58B072A9" w14:textId="77777777" w:rsidR="00AA51DA" w:rsidRDefault="00AA51DA" w:rsidP="00AA51DA">
      <w:pPr>
        <w:spacing w:line="360" w:lineRule="atLeast"/>
        <w:ind w:left="6379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 xml:space="preserve">Маріковський О.В.                                                                                            </w:t>
      </w:r>
      <w:proofErr w:type="spellStart"/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>Неклюдов</w:t>
      </w:r>
      <w:proofErr w:type="spellEnd"/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 xml:space="preserve"> В</w:t>
      </w:r>
      <w:r>
        <w:rPr>
          <w:rFonts w:cs="Calibri"/>
          <w:b/>
          <w:bCs/>
          <w:color w:val="000000" w:themeColor="text1"/>
          <w:sz w:val="28"/>
          <w:szCs w:val="28"/>
        </w:rPr>
        <w:t>.</w:t>
      </w:r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>М.</w:t>
      </w:r>
    </w:p>
    <w:p w14:paraId="042B9896" w14:textId="77777777" w:rsidR="00AA51DA" w:rsidRDefault="00AA51DA" w:rsidP="00AA51DA">
      <w:pPr>
        <w:spacing w:line="360" w:lineRule="atLeast"/>
        <w:ind w:left="6379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>Монастирський Д.А.</w:t>
      </w:r>
    </w:p>
    <w:p w14:paraId="17896825" w14:textId="77777777" w:rsidR="00AA51DA" w:rsidRDefault="00AA51DA" w:rsidP="00AA51DA">
      <w:pPr>
        <w:spacing w:line="360" w:lineRule="atLeast"/>
        <w:ind w:left="6379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cs="Calibri"/>
          <w:b/>
          <w:bCs/>
          <w:color w:val="000000" w:themeColor="text1"/>
          <w:sz w:val="28"/>
          <w:szCs w:val="28"/>
          <w:lang w:val="uk-UA"/>
        </w:rPr>
        <w:t>Галайчук В.С.</w:t>
      </w:r>
    </w:p>
    <w:p w14:paraId="0D6D0905" w14:textId="77777777" w:rsidR="00AA51DA" w:rsidRDefault="00AA51DA" w:rsidP="00AA51DA">
      <w:pPr>
        <w:shd w:val="clear" w:color="auto" w:fill="FFFFFF"/>
        <w:spacing w:after="240"/>
        <w:ind w:left="6379"/>
        <w:jc w:val="both"/>
        <w:textAlignment w:val="baseline"/>
        <w:rPr>
          <w:b/>
          <w:sz w:val="30"/>
          <w:szCs w:val="30"/>
          <w:lang w:val="uk-UA"/>
        </w:rPr>
      </w:pPr>
    </w:p>
    <w:p w14:paraId="745B7F5D" w14:textId="6B7B6302" w:rsidR="007C15EC" w:rsidRPr="00A50038" w:rsidRDefault="007C15EC" w:rsidP="00A50038">
      <w:pPr>
        <w:shd w:val="clear" w:color="auto" w:fill="FFFFFF"/>
        <w:spacing w:after="240"/>
        <w:ind w:left="6379"/>
        <w:jc w:val="both"/>
        <w:textAlignment w:val="baseline"/>
        <w:rPr>
          <w:b/>
          <w:sz w:val="30"/>
          <w:szCs w:val="30"/>
          <w:lang w:val="uk-UA"/>
        </w:rPr>
      </w:pPr>
    </w:p>
    <w:sectPr w:rsidR="007C15EC" w:rsidRPr="00A50038" w:rsidSect="00010B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33B"/>
    <w:multiLevelType w:val="hybridMultilevel"/>
    <w:tmpl w:val="94343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855"/>
    <w:multiLevelType w:val="hybridMultilevel"/>
    <w:tmpl w:val="C5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688E"/>
    <w:multiLevelType w:val="hybridMultilevel"/>
    <w:tmpl w:val="697C2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2D97"/>
    <w:multiLevelType w:val="hybridMultilevel"/>
    <w:tmpl w:val="01429512"/>
    <w:lvl w:ilvl="0" w:tplc="B91C0B7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0A"/>
    <w:rsid w:val="00002D9A"/>
    <w:rsid w:val="00010B63"/>
    <w:rsid w:val="00053707"/>
    <w:rsid w:val="00061E82"/>
    <w:rsid w:val="0007374E"/>
    <w:rsid w:val="000A353C"/>
    <w:rsid w:val="000C4B30"/>
    <w:rsid w:val="000D0244"/>
    <w:rsid w:val="000D5BF3"/>
    <w:rsid w:val="000F080A"/>
    <w:rsid w:val="001B37A0"/>
    <w:rsid w:val="00207555"/>
    <w:rsid w:val="0021269C"/>
    <w:rsid w:val="00250D34"/>
    <w:rsid w:val="00272F8F"/>
    <w:rsid w:val="002D3DFF"/>
    <w:rsid w:val="003661B6"/>
    <w:rsid w:val="00405F47"/>
    <w:rsid w:val="00415299"/>
    <w:rsid w:val="0043746D"/>
    <w:rsid w:val="00494185"/>
    <w:rsid w:val="004B6FAC"/>
    <w:rsid w:val="00522A90"/>
    <w:rsid w:val="005971F4"/>
    <w:rsid w:val="005A6A46"/>
    <w:rsid w:val="005F28FD"/>
    <w:rsid w:val="006140E7"/>
    <w:rsid w:val="00621C8A"/>
    <w:rsid w:val="00684A25"/>
    <w:rsid w:val="006F1736"/>
    <w:rsid w:val="00713A34"/>
    <w:rsid w:val="00730BDA"/>
    <w:rsid w:val="00732F49"/>
    <w:rsid w:val="007A3054"/>
    <w:rsid w:val="007C15EC"/>
    <w:rsid w:val="00850D9D"/>
    <w:rsid w:val="00881C6F"/>
    <w:rsid w:val="008C4E46"/>
    <w:rsid w:val="00901884"/>
    <w:rsid w:val="00905A86"/>
    <w:rsid w:val="00935067"/>
    <w:rsid w:val="009669CE"/>
    <w:rsid w:val="00997C43"/>
    <w:rsid w:val="009A6CAA"/>
    <w:rsid w:val="009C6D89"/>
    <w:rsid w:val="009D5895"/>
    <w:rsid w:val="009E5927"/>
    <w:rsid w:val="00A50038"/>
    <w:rsid w:val="00AA51DA"/>
    <w:rsid w:val="00AC41E9"/>
    <w:rsid w:val="00AE11AB"/>
    <w:rsid w:val="00B376B2"/>
    <w:rsid w:val="00B571AF"/>
    <w:rsid w:val="00B91D4D"/>
    <w:rsid w:val="00BA3452"/>
    <w:rsid w:val="00BA6A61"/>
    <w:rsid w:val="00C15A3E"/>
    <w:rsid w:val="00C448C9"/>
    <w:rsid w:val="00C44BD6"/>
    <w:rsid w:val="00C8598F"/>
    <w:rsid w:val="00C91ACA"/>
    <w:rsid w:val="00CA0302"/>
    <w:rsid w:val="00CA51B1"/>
    <w:rsid w:val="00D2104A"/>
    <w:rsid w:val="00D3775F"/>
    <w:rsid w:val="00D467AB"/>
    <w:rsid w:val="00D56EDF"/>
    <w:rsid w:val="00D7708A"/>
    <w:rsid w:val="00D8782E"/>
    <w:rsid w:val="00DE1742"/>
    <w:rsid w:val="00E24BE3"/>
    <w:rsid w:val="00EF6ADC"/>
    <w:rsid w:val="00F07E3E"/>
    <w:rsid w:val="00F74032"/>
    <w:rsid w:val="00F9068C"/>
    <w:rsid w:val="00FB7657"/>
    <w:rsid w:val="00FC02C2"/>
    <w:rsid w:val="00FC02E4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5569"/>
  <w15:docId w15:val="{B60A6294-FF20-BA45-9A06-418BB03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46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B76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l">
    <w:name w:val="tl"/>
    <w:basedOn w:val="a"/>
    <w:rsid w:val="00FB7657"/>
    <w:pPr>
      <w:spacing w:before="100" w:beforeAutospacing="1" w:after="100" w:afterAutospacing="1"/>
    </w:pPr>
    <w:rPr>
      <w:rFonts w:eastAsia="Times New Roman"/>
    </w:rPr>
  </w:style>
  <w:style w:type="paragraph" w:customStyle="1" w:styleId="tj">
    <w:name w:val="tj"/>
    <w:basedOn w:val="a"/>
    <w:rsid w:val="00FB765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B7657"/>
  </w:style>
  <w:style w:type="paragraph" w:customStyle="1" w:styleId="tc">
    <w:name w:val="tc"/>
    <w:basedOn w:val="a"/>
    <w:rsid w:val="00FB7657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FB7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69C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7C1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F173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17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Павлюк Павло Петрович</cp:lastModifiedBy>
  <cp:revision>2</cp:revision>
  <cp:lastPrinted>2020-01-09T10:14:00Z</cp:lastPrinted>
  <dcterms:created xsi:type="dcterms:W3CDTF">2020-01-13T08:26:00Z</dcterms:created>
  <dcterms:modified xsi:type="dcterms:W3CDTF">2020-01-13T08:26:00Z</dcterms:modified>
</cp:coreProperties>
</file>