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4EE7DCBD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0E3795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0E379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E3795" w:rsidRPr="000E3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про внесення змін до розділу </w:t>
      </w:r>
      <w:r w:rsidR="000E3795" w:rsidRPr="000E3795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0E3795" w:rsidRPr="000E3795">
        <w:rPr>
          <w:rFonts w:ascii="Times New Roman" w:eastAsia="Times New Roman" w:hAnsi="Times New Roman"/>
          <w:sz w:val="28"/>
          <w:szCs w:val="28"/>
          <w:lang w:val="uk-UA" w:eastAsia="ru-RU"/>
        </w:rPr>
        <w:t>ІІ "Прикінцеві та перехідні положення" Закону України "Про збір та облік єдиного внеску на загальнообов'язкове державне соціальне страхування" щодо реструктуризації заборгованості із сплати платежів з єдиного внеску на загальнообов'язкове державне соціальне страхування (реєстр.№2724)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0E3795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E3795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D2EE9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5F7C-FC78-44DC-8913-080172D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28</cp:revision>
  <cp:lastPrinted>2019-11-08T11:28:00Z</cp:lastPrinted>
  <dcterms:created xsi:type="dcterms:W3CDTF">2020-03-31T08:08:00Z</dcterms:created>
  <dcterms:modified xsi:type="dcterms:W3CDTF">2020-05-26T09:41:00Z</dcterms:modified>
</cp:coreProperties>
</file>