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A7" w:rsidRPr="00E351BF" w:rsidRDefault="00AD76A7" w:rsidP="00E241FC">
      <w:pPr>
        <w:jc w:val="center"/>
        <w:rPr>
          <w:rFonts w:ascii="Times New Roman" w:hAnsi="Times New Roman" w:cs="Times New Roman"/>
        </w:rPr>
      </w:pPr>
      <w:r w:rsidRPr="00E351BF">
        <w:rPr>
          <w:rFonts w:ascii="Times New Roman" w:hAnsi="Times New Roman" w:cs="Times New Roman"/>
        </w:rPr>
        <w:t>ПОРІВНЯЛЬНА ТАБЛИЦЯ</w:t>
      </w:r>
    </w:p>
    <w:p w:rsidR="00AD76A7" w:rsidRPr="00E351BF" w:rsidRDefault="00AD76A7" w:rsidP="00E241FC">
      <w:pPr>
        <w:autoSpaceDE w:val="0"/>
        <w:jc w:val="center"/>
        <w:rPr>
          <w:rFonts w:ascii="Times New Roman" w:hAnsi="Times New Roman" w:cs="Times New Roman"/>
          <w:lang w:val="en-US"/>
        </w:rPr>
      </w:pPr>
      <w:r w:rsidRPr="00E351BF">
        <w:rPr>
          <w:rFonts w:ascii="Times New Roman" w:hAnsi="Times New Roman" w:cs="Times New Roman"/>
        </w:rPr>
        <w:t xml:space="preserve">до проекту Закону України "Про внесення змін до деяких законів України щодо </w:t>
      </w:r>
    </w:p>
    <w:p w:rsidR="00AD76A7" w:rsidRPr="00E351BF" w:rsidRDefault="00AD76A7" w:rsidP="00E351BF">
      <w:pPr>
        <w:autoSpaceDE w:val="0"/>
        <w:jc w:val="center"/>
        <w:rPr>
          <w:rFonts w:ascii="Times New Roman" w:hAnsi="Times New Roman" w:cs="Times New Roman"/>
          <w:lang w:val="ru-RU"/>
        </w:rPr>
      </w:pPr>
      <w:r w:rsidRPr="00E351BF">
        <w:rPr>
          <w:rFonts w:ascii="Times New Roman" w:hAnsi="Times New Roman" w:cs="Times New Roman"/>
        </w:rPr>
        <w:t>накопичувальної системи державного пенсійного страхування"</w:t>
      </w:r>
    </w:p>
    <w:p w:rsidR="00AD76A7" w:rsidRPr="00E351BF" w:rsidRDefault="00AD76A7" w:rsidP="00E241FC">
      <w:pPr>
        <w:jc w:val="center"/>
        <w:rPr>
          <w:rFonts w:ascii="Times New Roman" w:hAnsi="Times New Roman" w:cs="Times New Roman"/>
          <w:lang w:val="ru-RU"/>
        </w:rPr>
      </w:pPr>
    </w:p>
    <w:tbl>
      <w:tblPr>
        <w:tblStyle w:val="TableGrid"/>
        <w:tblW w:w="0" w:type="auto"/>
        <w:tblInd w:w="-106" w:type="dxa"/>
        <w:tblLook w:val="01E0"/>
      </w:tblPr>
      <w:tblGrid>
        <w:gridCol w:w="7676"/>
        <w:gridCol w:w="7676"/>
      </w:tblGrid>
      <w:tr w:rsidR="00AD76A7" w:rsidRPr="00E351BF">
        <w:tc>
          <w:tcPr>
            <w:tcW w:w="7676" w:type="dxa"/>
          </w:tcPr>
          <w:p w:rsidR="00AD76A7" w:rsidRPr="00E351BF" w:rsidRDefault="00AD76A7" w:rsidP="00E241FC">
            <w:pPr>
              <w:jc w:val="center"/>
              <w:rPr>
                <w:rFonts w:ascii="Times New Roman" w:hAnsi="Times New Roman" w:cs="Times New Roman"/>
                <w:color w:val="auto"/>
              </w:rPr>
            </w:pPr>
          </w:p>
          <w:p w:rsidR="00AD76A7" w:rsidRPr="00E351BF" w:rsidRDefault="00AD76A7" w:rsidP="00E241FC">
            <w:pPr>
              <w:jc w:val="center"/>
              <w:rPr>
                <w:rFonts w:ascii="Times New Roman" w:hAnsi="Times New Roman" w:cs="Times New Roman"/>
                <w:color w:val="auto"/>
              </w:rPr>
            </w:pPr>
            <w:r w:rsidRPr="00E351BF">
              <w:rPr>
                <w:rFonts w:ascii="Times New Roman" w:hAnsi="Times New Roman" w:cs="Times New Roman"/>
                <w:color w:val="auto"/>
              </w:rPr>
              <w:t>Зміст положення (норми) чинного законодавства</w:t>
            </w:r>
          </w:p>
          <w:p w:rsidR="00AD76A7" w:rsidRPr="00E351BF" w:rsidRDefault="00AD76A7" w:rsidP="00E241FC">
            <w:pPr>
              <w:jc w:val="center"/>
              <w:rPr>
                <w:rFonts w:ascii="Times New Roman" w:hAnsi="Times New Roman" w:cs="Times New Roman"/>
                <w:color w:val="auto"/>
              </w:rPr>
            </w:pPr>
          </w:p>
        </w:tc>
        <w:tc>
          <w:tcPr>
            <w:tcW w:w="7676" w:type="dxa"/>
          </w:tcPr>
          <w:p w:rsidR="00AD76A7" w:rsidRPr="00E351BF" w:rsidRDefault="00AD76A7" w:rsidP="00E241FC">
            <w:pPr>
              <w:jc w:val="both"/>
              <w:rPr>
                <w:rFonts w:ascii="Times New Roman" w:hAnsi="Times New Roman" w:cs="Times New Roman"/>
                <w:color w:val="auto"/>
              </w:rPr>
            </w:pPr>
          </w:p>
          <w:p w:rsidR="00AD76A7" w:rsidRPr="00E351BF" w:rsidRDefault="00AD76A7" w:rsidP="00E351BF">
            <w:pPr>
              <w:tabs>
                <w:tab w:val="center" w:pos="3984"/>
                <w:tab w:val="right" w:pos="7969"/>
              </w:tabs>
              <w:jc w:val="center"/>
              <w:rPr>
                <w:rFonts w:ascii="Times New Roman" w:hAnsi="Times New Roman" w:cs="Times New Roman"/>
                <w:color w:val="auto"/>
                <w:lang w:val="ru-RU"/>
              </w:rPr>
            </w:pPr>
            <w:r w:rsidRPr="00E351BF">
              <w:rPr>
                <w:rFonts w:ascii="Times New Roman" w:hAnsi="Times New Roman" w:cs="Times New Roman"/>
                <w:color w:val="auto"/>
              </w:rPr>
              <w:t>Зміст положення (норми) запропонованого проекту</w:t>
            </w:r>
            <w:r w:rsidRPr="00E351BF">
              <w:rPr>
                <w:rFonts w:ascii="Times New Roman" w:hAnsi="Times New Roman" w:cs="Times New Roman"/>
                <w:color w:val="auto"/>
                <w:lang w:val="ru-RU"/>
              </w:rPr>
              <w:t xml:space="preserve"> акта</w:t>
            </w:r>
          </w:p>
        </w:tc>
      </w:tr>
      <w:tr w:rsidR="00AD76A7" w:rsidRPr="00E351BF">
        <w:tc>
          <w:tcPr>
            <w:tcW w:w="15352" w:type="dxa"/>
            <w:gridSpan w:val="2"/>
          </w:tcPr>
          <w:p w:rsidR="00AD76A7" w:rsidRPr="00E351BF" w:rsidRDefault="00AD76A7" w:rsidP="00E241FC">
            <w:pPr>
              <w:jc w:val="center"/>
              <w:rPr>
                <w:rFonts w:ascii="Times New Roman" w:hAnsi="Times New Roman" w:cs="Times New Roman"/>
                <w:color w:val="auto"/>
                <w:lang w:val="ru-RU"/>
              </w:rPr>
            </w:pPr>
          </w:p>
          <w:p w:rsidR="00AD76A7" w:rsidRPr="00E351BF" w:rsidRDefault="00AD76A7" w:rsidP="00E241FC">
            <w:pPr>
              <w:jc w:val="center"/>
              <w:rPr>
                <w:rFonts w:ascii="Times New Roman" w:hAnsi="Times New Roman" w:cs="Times New Roman"/>
                <w:color w:val="auto"/>
                <w:lang w:val="ru-RU"/>
              </w:rPr>
            </w:pPr>
            <w:r w:rsidRPr="00E351BF">
              <w:rPr>
                <w:rFonts w:ascii="Times New Roman" w:hAnsi="Times New Roman" w:cs="Times New Roman"/>
                <w:color w:val="auto"/>
              </w:rPr>
              <w:t xml:space="preserve">Закон України </w:t>
            </w:r>
            <w:r w:rsidRPr="00E351BF">
              <w:t>"</w:t>
            </w:r>
            <w:r w:rsidRPr="00E351BF">
              <w:rPr>
                <w:rFonts w:ascii="Times New Roman" w:hAnsi="Times New Roman" w:cs="Times New Roman"/>
                <w:color w:val="auto"/>
              </w:rPr>
              <w:t>Про загальнообов’язкове державне пенсійне страхування"</w:t>
            </w:r>
          </w:p>
          <w:p w:rsidR="00AD76A7" w:rsidRPr="00E351BF" w:rsidRDefault="00AD76A7" w:rsidP="00E241FC">
            <w:pPr>
              <w:jc w:val="center"/>
              <w:rPr>
                <w:lang w:val="ru-RU"/>
              </w:rPr>
            </w:pPr>
          </w:p>
        </w:tc>
      </w:tr>
      <w:tr w:rsidR="00AD76A7" w:rsidRPr="00E351BF">
        <w:tc>
          <w:tcPr>
            <w:tcW w:w="7676" w:type="dxa"/>
          </w:tcPr>
          <w:p w:rsidR="00AD76A7" w:rsidRPr="00E351BF" w:rsidRDefault="00AD76A7" w:rsidP="00E241FC">
            <w:pPr>
              <w:autoSpaceDE w:val="0"/>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1. </w:t>
            </w:r>
            <w:r w:rsidRPr="00E351BF">
              <w:rPr>
                <w:rFonts w:ascii="Times New Roman" w:hAnsi="Times New Roman" w:cs="Times New Roman"/>
                <w:b w:val="0"/>
                <w:bCs w:val="0"/>
                <w:color w:val="auto"/>
              </w:rPr>
              <w:t xml:space="preserve">Визначення термінів </w:t>
            </w:r>
          </w:p>
          <w:p w:rsidR="00AD76A7" w:rsidRPr="00E351BF" w:rsidRDefault="00AD76A7" w:rsidP="00E241FC">
            <w:pPr>
              <w:autoSpaceDE w:val="0"/>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У цьому Законі наведені нижче терміни вживаються в такому значенні:</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зберігач - банк, який здійснює свою діяльність відповідно до законодавства про банки і банківську діяльність та відповідає вимогам цього Закону щодо зберігання та обслуговування коштів Накопичувального фонду;</w:t>
            </w: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lang w:val="ru-RU"/>
              </w:rPr>
            </w:pPr>
          </w:p>
        </w:tc>
        <w:tc>
          <w:tcPr>
            <w:tcW w:w="7676" w:type="dxa"/>
          </w:tcPr>
          <w:p w:rsidR="00AD76A7" w:rsidRPr="00E351BF" w:rsidRDefault="00AD76A7" w:rsidP="00E241FC">
            <w:pPr>
              <w:ind w:firstLine="567"/>
              <w:jc w:val="both"/>
            </w:pPr>
            <w:r w:rsidRPr="00E351BF">
              <w:t>Стаття 1. Визначення термінів</w:t>
            </w:r>
          </w:p>
          <w:p w:rsidR="00AD76A7" w:rsidRPr="00E351BF" w:rsidRDefault="00AD76A7" w:rsidP="00E241FC">
            <w:pPr>
              <w:ind w:firstLine="567"/>
              <w:jc w:val="both"/>
              <w:rPr>
                <w:b w:val="0"/>
                <w:bCs w:val="0"/>
              </w:rPr>
            </w:pPr>
            <w:r w:rsidRPr="00E351BF">
              <w:rPr>
                <w:rFonts w:ascii="Times New Roman" w:hAnsi="Times New Roman" w:cs="Times New Roman"/>
                <w:b w:val="0"/>
                <w:bCs w:val="0"/>
                <w:color w:val="auto"/>
              </w:rPr>
              <w:t>У цьому Законі наведені нижче терміни вживаються в такому значенні:</w:t>
            </w:r>
          </w:p>
          <w:p w:rsidR="00AD76A7" w:rsidRPr="00E351BF" w:rsidRDefault="00AD76A7" w:rsidP="00E241FC">
            <w:pPr>
              <w:ind w:firstLine="567"/>
              <w:jc w:val="both"/>
              <w:rPr>
                <w:rFonts w:ascii="Times New Roman" w:hAnsi="Times New Roman" w:cs="Times New Roman"/>
              </w:rPr>
            </w:pPr>
            <w:r w:rsidRPr="00E351BF">
              <w:rPr>
                <w:rFonts w:ascii="Times New Roman" w:hAnsi="Times New Roman" w:cs="Times New Roman"/>
              </w:rPr>
              <w:t>…</w:t>
            </w:r>
          </w:p>
          <w:p w:rsidR="00AD76A7" w:rsidRPr="00E351BF" w:rsidRDefault="00AD76A7" w:rsidP="00E241FC">
            <w:pPr>
              <w:ind w:firstLine="567"/>
              <w:jc w:val="both"/>
            </w:pPr>
            <w:r w:rsidRPr="00E351BF">
              <w:t xml:space="preserve">зберігач — банк, який провадить свою діяльність відповідно до законодавства про банки і банківську діяльність, відповідає вимогам цього Закону щодо зберігання активів та обслуговування коштів Накопичувального пенсійного фонду, та 100 відсотків статутного капіталу якого перебувають у державній власності;  </w:t>
            </w:r>
          </w:p>
          <w:p w:rsidR="00AD76A7" w:rsidRPr="00E351BF" w:rsidRDefault="00AD76A7" w:rsidP="00E241FC">
            <w:pPr>
              <w:ind w:firstLine="567"/>
              <w:jc w:val="both"/>
              <w:rPr>
                <w:rFonts w:ascii="Times New Roman" w:hAnsi="Times New Roman" w:cs="Times New Roman"/>
              </w:rPr>
            </w:pPr>
          </w:p>
        </w:tc>
      </w:tr>
      <w:tr w:rsidR="00AD76A7" w:rsidRPr="00E351BF">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Стаття 78</w:t>
            </w:r>
            <w:r w:rsidRPr="00E351BF">
              <w:rPr>
                <w:rFonts w:ascii="Times New Roman" w:hAnsi="Times New Roman" w:cs="Times New Roman"/>
                <w:b w:val="0"/>
                <w:bCs w:val="0"/>
                <w:color w:val="auto"/>
              </w:rPr>
              <w:t>. Накопичувальний фонд</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3. Управління пенсійними активами Накопичувального фонду здійснюється компаніями з управління активами.</w:t>
            </w:r>
          </w:p>
          <w:p w:rsidR="00AD76A7" w:rsidRPr="00E351BF" w:rsidRDefault="00AD76A7" w:rsidP="00E241FC">
            <w:pPr>
              <w:ind w:firstLine="567"/>
              <w:jc w:val="both"/>
              <w:rPr>
                <w:rFonts w:ascii="Times New Roman" w:hAnsi="Times New Roman" w:cs="Times New Roman"/>
                <w:color w:val="auto"/>
              </w:rPr>
            </w:pPr>
          </w:p>
        </w:tc>
        <w:tc>
          <w:tcPr>
            <w:tcW w:w="7676" w:type="dxa"/>
          </w:tcPr>
          <w:p w:rsidR="00AD76A7" w:rsidRPr="00E351BF" w:rsidRDefault="00AD76A7" w:rsidP="00E241FC">
            <w:pPr>
              <w:ind w:firstLine="567"/>
              <w:jc w:val="both"/>
            </w:pPr>
            <w:r w:rsidRPr="00E351BF">
              <w:t>Стаття 78. Накопичувальний фонд</w:t>
            </w:r>
          </w:p>
          <w:p w:rsidR="00AD76A7" w:rsidRPr="00E351BF" w:rsidRDefault="00AD76A7" w:rsidP="00E241FC">
            <w:pPr>
              <w:ind w:firstLine="567"/>
              <w:jc w:val="both"/>
            </w:pPr>
            <w:r w:rsidRPr="00E351BF">
              <w:rPr>
                <w:rFonts w:ascii="Times New Roman" w:hAnsi="Times New Roman" w:cs="Times New Roman"/>
              </w:rPr>
              <w:t>3</w:t>
            </w:r>
            <w:r w:rsidRPr="00E351BF">
              <w:t>. Управління пенсійними активами Накопичувального фонду здійснюється Кабінетом Міністрів України відповідно до його рішень.</w:t>
            </w:r>
          </w:p>
          <w:p w:rsidR="00AD76A7" w:rsidRPr="00E351BF" w:rsidRDefault="00AD76A7" w:rsidP="00E241FC">
            <w:pPr>
              <w:ind w:firstLine="567"/>
              <w:jc w:val="both"/>
            </w:pPr>
            <w:r w:rsidRPr="00E351BF">
              <w:t>Після п’яти років з дня запровадження накопичувальної системи пенсійного страхування управління пенсійними активами Накопичувального фонду може здійснюватися компаніями з управління активами, що обираються за результатом конкурсу відповідно до цього Закону.</w:t>
            </w:r>
          </w:p>
          <w:p w:rsidR="00AD76A7" w:rsidRPr="00E351BF" w:rsidRDefault="00AD76A7" w:rsidP="00E241FC">
            <w:pPr>
              <w:ind w:firstLine="567"/>
              <w:jc w:val="both"/>
            </w:pPr>
            <w:r w:rsidRPr="00E351BF">
              <w:t>Рішення про передання в управління пенсійних активів Накопичувального фонду компаніям з управління активами приймається Кабінетом Міністрів України.</w:t>
            </w:r>
          </w:p>
          <w:p w:rsidR="00AD76A7" w:rsidRPr="00E351BF" w:rsidRDefault="00AD76A7" w:rsidP="00E241FC">
            <w:pPr>
              <w:ind w:firstLine="567"/>
              <w:jc w:val="both"/>
              <w:rPr>
                <w:rFonts w:ascii="Times New Roman" w:hAnsi="Times New Roman" w:cs="Times New Roman"/>
              </w:rPr>
            </w:pPr>
          </w:p>
        </w:tc>
      </w:tr>
      <w:tr w:rsidR="00AD76A7" w:rsidRPr="00E351BF">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80. </w:t>
            </w:r>
            <w:r w:rsidRPr="00E351BF">
              <w:rPr>
                <w:rFonts w:ascii="Times New Roman" w:hAnsi="Times New Roman" w:cs="Times New Roman"/>
                <w:b w:val="0"/>
                <w:bCs w:val="0"/>
                <w:color w:val="auto"/>
              </w:rPr>
              <w:t>Пенсійні активи накопичувальної системи пенсійного страхування</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shd w:val="clear" w:color="auto" w:fill="FFFFFF"/>
              </w:rPr>
              <w:t>Розміщення коштів Накопичувального фонду в активи, зазначені в пунктах 4 і 5 цієї частини, може здійснюватися за умови, що інвестування коштів Накопичувального фонду за межами України негативно не позначиться на зовнішньому платіжному балансі України, стані її валютних резервів та стабільності її грошової одиниці. Рішення про можливість інвестування коштів Накопичувального фонду за межами України приймає Рада Накопичувального фонду лише за наявності позитивного рішення Ради національної безпеки і оборони України із цього питання.</w:t>
            </w: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color w:val="auto"/>
              </w:rPr>
            </w:pPr>
          </w:p>
        </w:tc>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80. </w:t>
            </w:r>
            <w:r w:rsidRPr="00E351BF">
              <w:rPr>
                <w:rFonts w:ascii="Times New Roman" w:hAnsi="Times New Roman" w:cs="Times New Roman"/>
                <w:b w:val="0"/>
                <w:bCs w:val="0"/>
                <w:color w:val="auto"/>
              </w:rPr>
              <w:t>Пенсійні активи накопичувальної системи пенсійного страхування</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b w:val="0"/>
                <w:bCs w:val="0"/>
                <w:shd w:val="clear" w:color="auto" w:fill="FFFFFF"/>
              </w:rPr>
            </w:pPr>
            <w:r w:rsidRPr="00E351BF">
              <w:rPr>
                <w:rFonts w:ascii="Times New Roman" w:hAnsi="Times New Roman" w:cs="Times New Roman"/>
                <w:b w:val="0"/>
                <w:bCs w:val="0"/>
                <w:shd w:val="clear" w:color="auto" w:fill="FFFFFF"/>
              </w:rPr>
              <w:t>Розміщення коштів Накопичувального фонду в активи, зазначені в пунктах 4 і 5 цієї частини, може здійснюватися за умови, що інвестування коштів Накопичувального фонду за межами України негативно не позначиться на зовнішньому платіжному балансі України, стані її валютних резервів та стабільності її грошової одиниці. Рішення про можливість інвестування коштів Накопичувального фонду за межами України приймає Рада Накопичувального фонду лише за наявності позитивного рішення Ради національної безпеки і оборони України із цього питання.</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rPr>
              <w:t>Протягом п’яти років з дня запровадження накопичувальної системи пенсійного страхування розміщення коштів Накопичувального фонду може здійснюватися лише в активи у державних облігаціях України, казначейських зобов’язаннях України та інших цінних паперах, емітентом яких є</w:t>
            </w:r>
            <w:r w:rsidRPr="00E351BF">
              <w:rPr>
                <w:rFonts w:ascii="Times New Roman" w:hAnsi="Times New Roman" w:cs="Times New Roman"/>
                <w:lang w:eastAsia="uk-UA"/>
              </w:rPr>
              <w:t xml:space="preserve"> держава в особі уповноважених нею органів державної влади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rPr>
            </w:pPr>
            <w:r w:rsidRPr="00E351BF">
              <w:t>11. Забезпечення повернення коштів Накопичувального фонду гарантується державою шляхом визначення у законі про державний бюджет України на відповідний рік видатків на покриття можливих втрат у сумі, не меншій прогнозній вартості активів Накопичувального фонду на кінець планового року</w:t>
            </w:r>
            <w:r w:rsidRPr="00E351BF">
              <w:rPr>
                <w:rFonts w:ascii="Times New Roman" w:hAnsi="Times New Roman" w:cs="Times New Roman"/>
              </w:rPr>
              <w:t>.</w:t>
            </w:r>
          </w:p>
          <w:p w:rsidR="00AD76A7" w:rsidRPr="00E351BF" w:rsidRDefault="00AD76A7" w:rsidP="00E241FC">
            <w:pPr>
              <w:ind w:firstLine="567"/>
              <w:jc w:val="both"/>
              <w:rPr>
                <w:rFonts w:ascii="Times New Roman" w:hAnsi="Times New Roman" w:cs="Times New Roman"/>
                <w:color w:val="auto"/>
              </w:rPr>
            </w:pPr>
          </w:p>
        </w:tc>
      </w:tr>
      <w:tr w:rsidR="00AD76A7" w:rsidRPr="00E351BF">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81. </w:t>
            </w:r>
            <w:r w:rsidRPr="00E351BF">
              <w:rPr>
                <w:rFonts w:ascii="Times New Roman" w:hAnsi="Times New Roman" w:cs="Times New Roman"/>
                <w:b w:val="0"/>
                <w:bCs w:val="0"/>
                <w:color w:val="auto"/>
              </w:rPr>
              <w:t>Рада Накопичувального фонду</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2. До складу Ради Накопичувального фонду входять 14 осіб, які на пропорційній основі призначаються Президентом України та Верховною Радою України.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Президент України призначає сім членів Ради Накопичувального фонду шляхом прийняття відповідного указу - по одному представнику від центральних органів виконавчої влади, що забезпечують формування державної фінансової політики, державної політики у сферах трудових відносин, соціального захисту населення, економічного розвитку, національної комісії, що здійснює державне регулювання у сфері ринків фінансових послуг, Національної комісії з цінних паперів та фондового ринку, Ради національної безпеки і оборони України та Пенсійного фонду.</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Верховна Рада України призначає шляхом прийняття відповідної постанови сім членів Ради Накопичувального фонду, в тому числі по одному представнику застрахованих осіб та роботодавців, які обираються (делегуються) відповідно репрезентативними на національному рівні всеукраїнськими об’єднаннями профспілок та репрезентативними на національному рівні всеукраїнськими об’єднаннями організацій роботодавців та Національного банку України.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b w:val="0"/>
                <w:bCs w:val="0"/>
                <w:color w:val="auto"/>
              </w:rPr>
            </w:pPr>
          </w:p>
        </w:tc>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81. </w:t>
            </w:r>
            <w:r w:rsidRPr="00E351BF">
              <w:rPr>
                <w:rFonts w:ascii="Times New Roman" w:hAnsi="Times New Roman" w:cs="Times New Roman"/>
                <w:b w:val="0"/>
                <w:bCs w:val="0"/>
                <w:color w:val="auto"/>
              </w:rPr>
              <w:t>Рада Накопичувального фонду</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2. До складу Ради Накопичувального фонду входять 14 осіб, які на пропорційній основі призначаються Президентом України та Верховною Радою України.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Президент України призначає сім членів Ради Накопичувального фонду шляхом прийняття відповідного указу - по одному представнику від центральних органів виконавчої влади, що забезпечують формування державної фінансової політики, державної політики у сферах трудових відносин, соціального захисту населення, економічного розвитку, національної комісії, що здійснює державне регулювання у сфері ринків фінансових послуг, Національної комісії з цінних паперів та фондового ринку, Ради національної безпеки і оборони України та Пенсійного фонду.</w:t>
            </w:r>
          </w:p>
          <w:p w:rsidR="00AD76A7" w:rsidRPr="00E351BF" w:rsidRDefault="00AD76A7" w:rsidP="00E241FC">
            <w:pPr>
              <w:ind w:firstLine="567"/>
              <w:jc w:val="both"/>
              <w:rPr>
                <w:rFonts w:ascii="Times New Roman" w:hAnsi="Times New Roman" w:cs="Times New Roman"/>
              </w:rPr>
            </w:pPr>
            <w:r w:rsidRPr="00E351BF">
              <w:rPr>
                <w:shd w:val="clear" w:color="auto" w:fill="FFFFFF"/>
              </w:rPr>
              <w:t>Верховна Рада України призначає шляхом прийняття відповідної постанови сім членів Ради Накопичувального фонду, із яких по три представники застрахованих осіб та роботодавців, які обираються (делегуються) відповідно репрезентативними на національному рівні всеукраїнськими об’єднаннями профспілок та репрезентативними на національному рівні всеукраїнськими об’єднаннями організацій роботодавців та представник Національного банку України (за поданням Ради Національного банку України)</w:t>
            </w:r>
            <w:r w:rsidRPr="00E351BF">
              <w:rPr>
                <w:rFonts w:ascii="Times New Roman" w:hAnsi="Times New Roman" w:cs="Times New Roman"/>
                <w:shd w:val="clear" w:color="auto" w:fill="FFFFFF"/>
              </w:rPr>
              <w:t>.</w:t>
            </w:r>
          </w:p>
          <w:p w:rsidR="00AD76A7" w:rsidRPr="00BF06A9" w:rsidRDefault="00AD76A7" w:rsidP="00BF06A9">
            <w:pPr>
              <w:ind w:firstLine="567"/>
              <w:jc w:val="both"/>
              <w:rPr>
                <w:rFonts w:ascii="Times New Roman" w:hAnsi="Times New Roman" w:cs="Times New Roman"/>
                <w:b w:val="0"/>
                <w:bCs w:val="0"/>
              </w:rPr>
            </w:pPr>
            <w:r w:rsidRPr="00E351BF">
              <w:rPr>
                <w:b w:val="0"/>
                <w:bCs w:val="0"/>
              </w:rPr>
              <w:t>…</w:t>
            </w:r>
          </w:p>
        </w:tc>
      </w:tr>
      <w:tr w:rsidR="00AD76A7" w:rsidRPr="00E351BF">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85. </w:t>
            </w:r>
            <w:r w:rsidRPr="00E351BF">
              <w:rPr>
                <w:rFonts w:ascii="Times New Roman" w:hAnsi="Times New Roman" w:cs="Times New Roman"/>
                <w:b w:val="0"/>
                <w:bCs w:val="0"/>
                <w:color w:val="auto"/>
              </w:rPr>
              <w:t>Компанії з управління активами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4. Компанії з управління активами - резиденти, що обираються з числа компаній, які:</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1) провадять протягом останніх трьох років діяльність з управління активами на підставі відповідної ліцензії, виданої Національною комісією з цінних паперів та фондового ринку;</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2) мають одночасно в управлінні активи в сумі, розмір якої встановлюється в технічному завданні конкурсу;</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3) підтримують власний капітал у розмірі не менш як 25 мільйонів гривень на день подання заяви на участь у конкурсі;</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4) відповідають вимогам, встановленим Національною комісією з цінних паперів та фондового ринку, щодо кваліфікаційного рівня та досвіду роботи фахівців, які безпосередньо виконуватимуть функції, передбачені технічним завданням конкурсу;</w:t>
            </w:r>
          </w:p>
          <w:p w:rsidR="00AD76A7" w:rsidRPr="00E351BF" w:rsidRDefault="00AD76A7" w:rsidP="00E351BF">
            <w:pPr>
              <w:ind w:firstLine="567"/>
              <w:jc w:val="both"/>
              <w:rPr>
                <w:rFonts w:ascii="Times New Roman" w:hAnsi="Times New Roman" w:cs="Times New Roman"/>
                <w:color w:val="auto"/>
                <w:lang w:val="ru-RU"/>
              </w:rPr>
            </w:pPr>
            <w:r w:rsidRPr="00E351BF">
              <w:rPr>
                <w:rFonts w:ascii="Times New Roman" w:hAnsi="Times New Roman" w:cs="Times New Roman"/>
                <w:color w:val="auto"/>
              </w:rPr>
              <w:t>5) мають сформований резервний фонд за рахунок прибутку у розмірі не менш як 25 відсотків мінімального розміру статутного капіталу, встановленого законом для компаній з управління активами.</w:t>
            </w:r>
          </w:p>
          <w:p w:rsidR="00AD76A7" w:rsidRPr="00E351BF" w:rsidRDefault="00AD76A7" w:rsidP="00E351BF">
            <w:pPr>
              <w:ind w:firstLine="567"/>
              <w:jc w:val="both"/>
              <w:rPr>
                <w:rFonts w:ascii="Times New Roman" w:hAnsi="Times New Roman" w:cs="Times New Roman"/>
                <w:color w:val="auto"/>
                <w:lang w:val="ru-RU"/>
              </w:rPr>
            </w:pPr>
          </w:p>
        </w:tc>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85. </w:t>
            </w:r>
            <w:r w:rsidRPr="00E351BF">
              <w:rPr>
                <w:rFonts w:ascii="Times New Roman" w:hAnsi="Times New Roman" w:cs="Times New Roman"/>
                <w:b w:val="0"/>
                <w:bCs w:val="0"/>
                <w:color w:val="auto"/>
              </w:rPr>
              <w:t>Компанії з управління активами</w:t>
            </w:r>
          </w:p>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ind w:firstLine="567"/>
              <w:jc w:val="both"/>
              <w:rPr>
                <w:rFonts w:ascii="Times New Roman" w:hAnsi="Times New Roman" w:cs="Times New Roman"/>
              </w:rPr>
            </w:pPr>
            <w:r w:rsidRPr="00E351BF">
              <w:rPr>
                <w:rFonts w:ascii="Times New Roman" w:hAnsi="Times New Roman" w:cs="Times New Roman"/>
              </w:rPr>
              <w:t>4. Компанії з управління активами — резиденти, що обираються з числа компаній, які:</w:t>
            </w:r>
          </w:p>
          <w:p w:rsidR="00AD76A7" w:rsidRPr="00E351BF" w:rsidRDefault="00AD76A7" w:rsidP="00E241FC">
            <w:pPr>
              <w:ind w:firstLine="567"/>
              <w:jc w:val="both"/>
              <w:rPr>
                <w:rFonts w:ascii="Times New Roman" w:hAnsi="Times New Roman" w:cs="Times New Roman"/>
              </w:rPr>
            </w:pPr>
            <w:r w:rsidRPr="00E351BF">
              <w:rPr>
                <w:rFonts w:ascii="Times New Roman" w:hAnsi="Times New Roman" w:cs="Times New Roman"/>
              </w:rPr>
              <w:t>1) провадять протягом останніх семи років діяльність з управління активами недержавних пенсійних фондів на підставі відповідної ліцензії, виданої Національною комісією з цінних паперів та фондового ринку;</w:t>
            </w:r>
          </w:p>
          <w:p w:rsidR="00AD76A7" w:rsidRPr="00E351BF" w:rsidRDefault="00AD76A7" w:rsidP="00E241FC">
            <w:pPr>
              <w:ind w:firstLine="567"/>
              <w:jc w:val="both"/>
              <w:rPr>
                <w:rFonts w:ascii="Times New Roman" w:hAnsi="Times New Roman" w:cs="Times New Roman"/>
              </w:rPr>
            </w:pPr>
            <w:r w:rsidRPr="00E351BF">
              <w:rPr>
                <w:rFonts w:ascii="Times New Roman" w:hAnsi="Times New Roman" w:cs="Times New Roman"/>
              </w:rPr>
              <w:t>2) мають одночасно в управлінні загальну суму пенсійних активів не менш як 50 мільйонів гривень;</w:t>
            </w:r>
          </w:p>
          <w:p w:rsidR="00AD76A7" w:rsidRPr="00E351BF" w:rsidRDefault="00AD76A7" w:rsidP="00E241FC">
            <w:pPr>
              <w:ind w:firstLine="567"/>
              <w:jc w:val="both"/>
              <w:rPr>
                <w:rFonts w:ascii="Times New Roman" w:hAnsi="Times New Roman" w:cs="Times New Roman"/>
              </w:rPr>
            </w:pPr>
            <w:r w:rsidRPr="00E351BF">
              <w:rPr>
                <w:rFonts w:ascii="Times New Roman" w:hAnsi="Times New Roman" w:cs="Times New Roman"/>
              </w:rPr>
              <w:t>3) підтримують власний капітал у розмірі  не менш як 50 мільйонів гривень на день подання заяви про участь у конкурсі;</w:t>
            </w:r>
          </w:p>
          <w:p w:rsidR="00AD76A7" w:rsidRPr="00E351BF" w:rsidRDefault="00AD76A7" w:rsidP="00E241FC">
            <w:pPr>
              <w:pStyle w:val="NormalWeb"/>
              <w:spacing w:before="0" w:beforeAutospacing="0" w:after="0"/>
              <w:ind w:firstLine="567"/>
              <w:jc w:val="both"/>
              <w:rPr>
                <w:b/>
                <w:bCs/>
                <w:sz w:val="28"/>
                <w:szCs w:val="28"/>
              </w:rPr>
            </w:pPr>
            <w:r w:rsidRPr="00E351BF">
              <w:rPr>
                <w:b/>
                <w:bCs/>
                <w:sz w:val="28"/>
                <w:szCs w:val="28"/>
              </w:rPr>
              <w:t>4) відповідають вимогам, встановленим Національною комісією з цінних паперів та фондового ринку, щодо кваліфікаційного рівня та досвіду роботи фахівців, які безпосередньо виконуватимуть функції, передбачені технічним завданням конкурсу.</w:t>
            </w:r>
          </w:p>
          <w:p w:rsidR="00AD76A7" w:rsidRPr="00E351BF" w:rsidRDefault="00AD76A7" w:rsidP="00E241FC">
            <w:pPr>
              <w:ind w:firstLine="567"/>
              <w:jc w:val="both"/>
              <w:rPr>
                <w:rFonts w:ascii="Times New Roman" w:hAnsi="Times New Roman" w:cs="Times New Roman"/>
                <w:color w:val="auto"/>
              </w:rPr>
            </w:pPr>
            <w:r w:rsidRPr="00E351BF">
              <w:rPr>
                <w:rFonts w:ascii="Times New Roman" w:hAnsi="Times New Roman" w:cs="Times New Roman"/>
                <w:color w:val="auto"/>
              </w:rPr>
              <w:t>5) мають сформований резервний фонд за рахунок прибутку у розмірі не менш</w:t>
            </w:r>
            <w:r w:rsidRPr="00E351BF">
              <w:rPr>
                <w:rFonts w:ascii="Times New Roman" w:hAnsi="Times New Roman" w:cs="Times New Roman"/>
                <w:color w:val="auto"/>
                <w:lang w:val="ru-RU"/>
              </w:rPr>
              <w:t>е</w:t>
            </w:r>
            <w:r w:rsidRPr="00E351BF">
              <w:rPr>
                <w:rFonts w:ascii="Times New Roman" w:hAnsi="Times New Roman" w:cs="Times New Roman"/>
                <w:color w:val="auto"/>
              </w:rPr>
              <w:t xml:space="preserve"> мінімального розміру статутного капіталу, встановленого законом для компаній з управління активами.</w:t>
            </w:r>
          </w:p>
          <w:p w:rsidR="00AD76A7" w:rsidRPr="00E351BF" w:rsidRDefault="00AD76A7" w:rsidP="00E241FC">
            <w:pPr>
              <w:pStyle w:val="NormalWeb"/>
              <w:spacing w:before="0" w:beforeAutospacing="0" w:after="0"/>
              <w:ind w:firstLine="567"/>
              <w:jc w:val="both"/>
              <w:rPr>
                <w:sz w:val="28"/>
                <w:szCs w:val="28"/>
              </w:rPr>
            </w:pPr>
          </w:p>
        </w:tc>
      </w:tr>
      <w:tr w:rsidR="00AD76A7" w:rsidRPr="00E351BF">
        <w:tc>
          <w:tcPr>
            <w:tcW w:w="7676" w:type="dxa"/>
          </w:tcPr>
          <w:p w:rsidR="00AD76A7" w:rsidRPr="00E351BF" w:rsidRDefault="00AD76A7" w:rsidP="00E241FC">
            <w:pPr>
              <w:autoSpaceDE w:val="0"/>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Розділ Х</w:t>
            </w:r>
            <w:r w:rsidRPr="00E351BF">
              <w:rPr>
                <w:rFonts w:ascii="Times New Roman" w:hAnsi="Times New Roman" w:cs="Times New Roman"/>
                <w:b w:val="0"/>
                <w:bCs w:val="0"/>
                <w:color w:val="auto"/>
                <w:lang w:val="en-US"/>
              </w:rPr>
              <w:t>V</w:t>
            </w:r>
            <w:r w:rsidRPr="00E351BF">
              <w:rPr>
                <w:rFonts w:ascii="Times New Roman" w:hAnsi="Times New Roman" w:cs="Times New Roman"/>
                <w:b w:val="0"/>
                <w:bCs w:val="0"/>
                <w:color w:val="auto"/>
              </w:rPr>
              <w:t xml:space="preserve"> "Прикінцеві положення"</w:t>
            </w:r>
          </w:p>
          <w:p w:rsidR="00AD76A7" w:rsidRPr="00E351BF" w:rsidRDefault="00AD76A7" w:rsidP="00E241FC">
            <w:pPr>
              <w:autoSpaceDE w:val="0"/>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9. Перерахування страхових внесків до накопичувальної системи пенсійного страхування запроваджується з 1 січня 2019 року.</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Учасниками накопичувальної системи пенсійного страхування є особи, які станом на 1 січня 2019 року підлягають загальнообов'язковому державному пенсійному страхуванню згідно з цим Законом.</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Застраховані особи, яким на 1 січня 2019 року залишилося менше 10 років до досягнення пенсійного віку, передбаченого статтею 26 цього Закону, мають право прийняти рішення не сплачувати страхові внески до накопичувальної системи пенсійного страхування.</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Особи, які досягли пенсійного віку, передбаченого статтею 26 цього Закону, не можуть бути платниками страхових внесків до Накопичувального фонду.</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Кабінету Міністрів України до 1 липня 2018 року забезпечити створення інституційних компонентів функціонування накопичувальної системи пенсійного страхування.</w:t>
            </w:r>
          </w:p>
          <w:p w:rsidR="00AD76A7" w:rsidRPr="00E351BF" w:rsidRDefault="00AD76A7" w:rsidP="00E241FC">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Первинна чиста вартість одиниці пенсійних активів на дату спрямування частини страхових внесків до Накопичувального фонду дорівнює 1 гривні.</w:t>
            </w: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color w:val="auto"/>
              </w:rPr>
            </w:pPr>
          </w:p>
          <w:p w:rsidR="00AD76A7" w:rsidRPr="00E351BF" w:rsidRDefault="00AD76A7" w:rsidP="00E241FC">
            <w:pPr>
              <w:autoSpaceDE w:val="0"/>
              <w:snapToGrid w:val="0"/>
              <w:ind w:firstLine="567"/>
              <w:jc w:val="both"/>
              <w:rPr>
                <w:rFonts w:ascii="Times New Roman" w:hAnsi="Times New Roman" w:cs="Times New Roman"/>
                <w:b w:val="0"/>
                <w:bCs w:val="0"/>
                <w:color w:val="auto"/>
              </w:rPr>
            </w:pPr>
          </w:p>
        </w:tc>
        <w:tc>
          <w:tcPr>
            <w:tcW w:w="7676" w:type="dxa"/>
          </w:tcPr>
          <w:p w:rsidR="00AD76A7" w:rsidRPr="00E351BF" w:rsidRDefault="00AD76A7" w:rsidP="00E241FC">
            <w:pPr>
              <w:autoSpaceDE w:val="0"/>
              <w:ind w:firstLine="567"/>
              <w:jc w:val="both"/>
              <w:rPr>
                <w:rFonts w:ascii="Times New Roman" w:hAnsi="Times New Roman" w:cs="Times New Roman"/>
                <w:b w:val="0"/>
                <w:bCs w:val="0"/>
                <w:color w:val="auto"/>
              </w:rPr>
            </w:pPr>
            <w:r w:rsidRPr="00E351BF">
              <w:rPr>
                <w:rFonts w:ascii="Times New Roman" w:hAnsi="Times New Roman" w:cs="Times New Roman"/>
                <w:b w:val="0"/>
                <w:bCs w:val="0"/>
                <w:color w:val="auto"/>
              </w:rPr>
              <w:t>Розділ Х</w:t>
            </w:r>
            <w:r w:rsidRPr="00E351BF">
              <w:rPr>
                <w:rFonts w:ascii="Times New Roman" w:hAnsi="Times New Roman" w:cs="Times New Roman"/>
                <w:b w:val="0"/>
                <w:bCs w:val="0"/>
                <w:color w:val="auto"/>
                <w:lang w:val="en-US"/>
              </w:rPr>
              <w:t>V</w:t>
            </w:r>
            <w:r w:rsidRPr="00E351BF">
              <w:rPr>
                <w:rFonts w:ascii="Times New Roman" w:hAnsi="Times New Roman" w:cs="Times New Roman"/>
                <w:b w:val="0"/>
                <w:bCs w:val="0"/>
                <w:color w:val="auto"/>
              </w:rPr>
              <w:t xml:space="preserve"> "Прикінцеві положення"</w:t>
            </w:r>
          </w:p>
          <w:p w:rsidR="00AD76A7" w:rsidRPr="00E351BF" w:rsidRDefault="00AD76A7" w:rsidP="00E241FC">
            <w:pPr>
              <w:autoSpaceDE w:val="0"/>
              <w:ind w:firstLine="567"/>
              <w:jc w:val="both"/>
              <w:rPr>
                <w:rFonts w:ascii="Times New Roman" w:hAnsi="Times New Roman" w:cs="Times New Roman"/>
                <w:b w:val="0"/>
                <w:bCs w:val="0"/>
                <w:color w:val="auto"/>
              </w:rPr>
            </w:pPr>
            <w:r>
              <w:rPr>
                <w:rFonts w:ascii="Times New Roman" w:hAnsi="Times New Roman" w:cs="Times New Roman"/>
                <w:b w:val="0"/>
                <w:bCs w:val="0"/>
                <w:color w:val="auto"/>
              </w:rPr>
              <w:t>…</w:t>
            </w:r>
          </w:p>
          <w:p w:rsidR="00AD76A7" w:rsidRPr="00E351BF" w:rsidRDefault="00AD76A7" w:rsidP="00E241FC">
            <w:pPr>
              <w:ind w:firstLine="567"/>
              <w:jc w:val="both"/>
            </w:pPr>
            <w:r w:rsidRPr="00E351BF">
              <w:rPr>
                <w:rFonts w:ascii="Times New Roman" w:hAnsi="Times New Roman" w:cs="Times New Roman"/>
              </w:rPr>
              <w:t xml:space="preserve">9. </w:t>
            </w:r>
            <w:r w:rsidRPr="00E351BF">
              <w:t>Протягом 10 років з дня запровадження накопичувальної системи державного пенсійного страхування внески до Накопичувального фонду сплачуються застрахованими особами виключно на добровільних засадах.</w:t>
            </w:r>
          </w:p>
          <w:p w:rsidR="00AD76A7" w:rsidRPr="00E351BF" w:rsidRDefault="00AD76A7" w:rsidP="00E241FC">
            <w:pPr>
              <w:ind w:firstLine="567"/>
              <w:jc w:val="both"/>
            </w:pPr>
            <w:r w:rsidRPr="00E351BF">
              <w:t>Особи, які стали учасниками накопичувальної системи державного пенсійного страхування, не мають права переходу на сплату внесків до солідарної системи загальнообов’язкового державного пенсійного страхування.</w:t>
            </w:r>
          </w:p>
          <w:p w:rsidR="00AD76A7" w:rsidRPr="00E351BF" w:rsidRDefault="00AD76A7" w:rsidP="00E241FC">
            <w:pPr>
              <w:ind w:firstLine="567"/>
              <w:jc w:val="both"/>
              <w:rPr>
                <w:rFonts w:ascii="Times New Roman" w:hAnsi="Times New Roman" w:cs="Times New Roman"/>
              </w:rPr>
            </w:pPr>
            <w:r w:rsidRPr="00E351BF">
              <w:t>Особи, які досягли пенсійного віку, передбаченого статтею 26 цього Закону, крім випадків відстрочення часу призначення пенсії за віком відповідно до цього Закону, не можуть бути платниками страхових внесків до Накопичувального фонду</w:t>
            </w:r>
            <w:r w:rsidRPr="00E351BF">
              <w:rPr>
                <w:rFonts w:ascii="Times New Roman" w:hAnsi="Times New Roman" w:cs="Times New Roman"/>
              </w:rPr>
              <w:t>.</w:t>
            </w:r>
          </w:p>
          <w:p w:rsidR="00AD76A7" w:rsidRPr="00E351BF" w:rsidRDefault="00AD76A7" w:rsidP="00E241FC">
            <w:pPr>
              <w:ind w:firstLine="567"/>
              <w:jc w:val="both"/>
            </w:pPr>
            <w:r w:rsidRPr="00E351BF">
              <w:t xml:space="preserve">Застраховані особи, які не сплачують страхові внески до Накопичувального фонду, сплачують їх до солідарної системи </w:t>
            </w:r>
            <w:r w:rsidRPr="00E351BF">
              <w:rPr>
                <w:rFonts w:ascii="Times New Roman" w:hAnsi="Times New Roman" w:cs="Times New Roman"/>
              </w:rPr>
              <w:t>відповідно до закону</w:t>
            </w:r>
            <w:r w:rsidRPr="00E351BF">
              <w:t>.</w:t>
            </w:r>
          </w:p>
          <w:p w:rsidR="00AD76A7" w:rsidRPr="00E351BF" w:rsidRDefault="00AD76A7" w:rsidP="00E241FC">
            <w:pPr>
              <w:ind w:firstLine="567"/>
              <w:jc w:val="both"/>
            </w:pPr>
            <w:r w:rsidRPr="00E351BF">
              <w:t>Перерахування страхових внесків до Накопичувального пенсійного фонду запроваджується лише після виконання таких умов:</w:t>
            </w:r>
          </w:p>
          <w:p w:rsidR="00AD76A7" w:rsidRPr="00E351BF" w:rsidRDefault="00AD76A7" w:rsidP="00E241FC">
            <w:pPr>
              <w:ind w:firstLine="567"/>
              <w:jc w:val="both"/>
              <w:rPr>
                <w:rFonts w:ascii="Times New Roman" w:eastAsia="SimSun" w:hAnsi="Times New Roman" w:cs="Times New Roman"/>
                <w:color w:val="auto"/>
                <w:lang w:eastAsia="hi-IN" w:bidi="hi-IN"/>
              </w:rPr>
            </w:pPr>
            <w:r w:rsidRPr="00E351BF">
              <w:rPr>
                <w:rFonts w:ascii="Times New Roman" w:eastAsia="SimSun" w:hAnsi="Times New Roman" w:cs="Times New Roman"/>
                <w:color w:val="auto"/>
                <w:lang w:eastAsia="hi-IN" w:bidi="hi-IN"/>
              </w:rPr>
              <w:t>протягом двох років поспіль забезпечено бездефіцитність бюджету Пенсійного фонду України;</w:t>
            </w:r>
          </w:p>
          <w:p w:rsidR="00AD76A7" w:rsidRPr="00E351BF" w:rsidRDefault="00AD76A7" w:rsidP="00E241FC">
            <w:pPr>
              <w:ind w:firstLine="567"/>
              <w:jc w:val="both"/>
              <w:rPr>
                <w:rFonts w:ascii="Times New Roman" w:eastAsia="SimSun" w:hAnsi="Times New Roman" w:cs="Times New Roman"/>
                <w:color w:val="auto"/>
                <w:lang w:eastAsia="hi-IN" w:bidi="hi-IN"/>
              </w:rPr>
            </w:pPr>
            <w:r w:rsidRPr="00E351BF">
              <w:rPr>
                <w:rFonts w:ascii="Times New Roman" w:eastAsia="SimSun" w:hAnsi="Times New Roman" w:cs="Times New Roman"/>
                <w:color w:val="auto"/>
                <w:lang w:eastAsia="hi-IN" w:bidi="hi-IN"/>
              </w:rPr>
              <w:t>протягом двох років  поспіль досягнуто економічне зростання (статистично зафіксований приріст реального валового внутрішнього продукту відбувається не менше двох років).</w:t>
            </w:r>
          </w:p>
          <w:p w:rsidR="00AD76A7" w:rsidRPr="00E351BF" w:rsidRDefault="00AD76A7" w:rsidP="00E241FC">
            <w:pPr>
              <w:ind w:firstLine="567"/>
              <w:jc w:val="both"/>
            </w:pPr>
            <w:r w:rsidRPr="00E351BF">
              <w:t>Кабінету Міністрів України до 1 січня 20</w:t>
            </w:r>
            <w:r w:rsidRPr="00E351BF">
              <w:rPr>
                <w:rFonts w:ascii="Times New Roman" w:hAnsi="Times New Roman" w:cs="Times New Roman"/>
              </w:rPr>
              <w:t>21</w:t>
            </w:r>
            <w:r w:rsidRPr="00E351BF">
              <w:t xml:space="preserve"> року забезпечити</w:t>
            </w:r>
            <w:r w:rsidRPr="00E351BF">
              <w:rPr>
                <w:rFonts w:ascii="Times New Roman" w:hAnsi="Times New Roman" w:cs="Times New Roman"/>
              </w:rPr>
              <w:t xml:space="preserve"> </w:t>
            </w:r>
            <w:r w:rsidRPr="00E351BF">
              <w:t xml:space="preserve">створення інституційних компонентів функціонування накопичувальної системи пенсійного страхування, у тому числі: </w:t>
            </w:r>
          </w:p>
          <w:p w:rsidR="00AD76A7" w:rsidRPr="00BF06A9" w:rsidRDefault="00AD76A7" w:rsidP="00BF06A9">
            <w:pPr>
              <w:autoSpaceDE w:val="0"/>
              <w:snapToGrid w:val="0"/>
              <w:ind w:firstLine="567"/>
              <w:jc w:val="both"/>
              <w:rPr>
                <w:rFonts w:ascii="Times New Roman" w:hAnsi="Times New Roman" w:cs="Times New Roman"/>
                <w:color w:val="auto"/>
              </w:rPr>
            </w:pPr>
            <w:r w:rsidRPr="00E351BF">
              <w:rPr>
                <w:rFonts w:ascii="Times New Roman" w:hAnsi="Times New Roman" w:cs="Times New Roman"/>
                <w:color w:val="auto"/>
              </w:rPr>
              <w:t>Первинна чиста вартість одиниці пенсійних активів на дату спрямування частини страхових внесків до Накопичувального фонду дорівнює 1 гривні.</w:t>
            </w:r>
          </w:p>
        </w:tc>
      </w:tr>
      <w:tr w:rsidR="00AD76A7" w:rsidRPr="00E351BF">
        <w:tc>
          <w:tcPr>
            <w:tcW w:w="15352" w:type="dxa"/>
            <w:gridSpan w:val="2"/>
          </w:tcPr>
          <w:p w:rsidR="00AD76A7" w:rsidRPr="00E351BF" w:rsidRDefault="00AD76A7" w:rsidP="00E241FC">
            <w:pPr>
              <w:ind w:firstLine="567"/>
              <w:jc w:val="center"/>
              <w:rPr>
                <w:rFonts w:ascii="Times New Roman" w:hAnsi="Times New Roman" w:cs="Times New Roman"/>
                <w:color w:val="auto"/>
                <w:lang w:val="ru-RU"/>
              </w:rPr>
            </w:pPr>
          </w:p>
          <w:p w:rsidR="00AD76A7" w:rsidRPr="00E351BF" w:rsidRDefault="00AD76A7" w:rsidP="00E351BF">
            <w:pPr>
              <w:jc w:val="center"/>
              <w:rPr>
                <w:rFonts w:ascii="Times New Roman" w:hAnsi="Times New Roman" w:cs="Times New Roman"/>
                <w:color w:val="auto"/>
                <w:lang w:val="ru-RU"/>
              </w:rPr>
            </w:pPr>
            <w:r w:rsidRPr="00E351BF">
              <w:rPr>
                <w:rFonts w:ascii="Times New Roman" w:hAnsi="Times New Roman" w:cs="Times New Roman"/>
                <w:color w:val="auto"/>
              </w:rPr>
              <w:t xml:space="preserve">Закон України </w:t>
            </w:r>
            <w:r w:rsidRPr="00E351BF">
              <w:rPr>
                <w:lang w:val="ru-RU"/>
              </w:rPr>
              <w:t>"</w:t>
            </w:r>
            <w:r w:rsidRPr="00E351BF">
              <w:rPr>
                <w:rFonts w:ascii="Times New Roman" w:hAnsi="Times New Roman" w:cs="Times New Roman"/>
                <w:color w:val="auto"/>
              </w:rPr>
              <w:t>Про заходи щодо законодавчого забезпечення реформування пенсійної системи"</w:t>
            </w:r>
          </w:p>
          <w:p w:rsidR="00AD76A7" w:rsidRPr="00E351BF" w:rsidRDefault="00AD76A7" w:rsidP="00E241FC">
            <w:pPr>
              <w:ind w:firstLine="567"/>
              <w:jc w:val="center"/>
              <w:rPr>
                <w:lang w:val="ru-RU"/>
              </w:rPr>
            </w:pPr>
          </w:p>
        </w:tc>
      </w:tr>
      <w:tr w:rsidR="00AD76A7" w:rsidRPr="00E351BF">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1. </w:t>
            </w:r>
            <w:r w:rsidRPr="00E351BF">
              <w:rPr>
                <w:rFonts w:ascii="Times New Roman" w:hAnsi="Times New Roman" w:cs="Times New Roman"/>
                <w:b w:val="0"/>
                <w:bCs w:val="0"/>
                <w:color w:val="auto"/>
              </w:rPr>
              <w:t xml:space="preserve">Питання формування накопичувальної системи пенсійного страхування </w:t>
            </w:r>
          </w:p>
          <w:p w:rsidR="00AD76A7" w:rsidRPr="00E351BF" w:rsidRDefault="00AD76A7" w:rsidP="00E241FC">
            <w:pPr>
              <w:ind w:firstLine="567"/>
              <w:jc w:val="both"/>
              <w:rPr>
                <w:lang w:val="ru-RU"/>
              </w:rPr>
            </w:pPr>
            <w:r w:rsidRPr="00E351BF">
              <w:rPr>
                <w:rFonts w:ascii="Times New Roman" w:hAnsi="Times New Roman" w:cs="Times New Roman"/>
                <w:color w:val="auto"/>
              </w:rPr>
              <w:t>1. Перерахування страхових внесків до Накопичувального пенсійного фонду запроваджується починаючи з року, в якому буде забезпечено бездефіцитність бюджету Пенсійного фонду України.</w:t>
            </w:r>
          </w:p>
        </w:tc>
        <w:tc>
          <w:tcPr>
            <w:tcW w:w="7676" w:type="dxa"/>
          </w:tcPr>
          <w:p w:rsidR="00AD76A7" w:rsidRPr="00E351BF" w:rsidRDefault="00AD76A7" w:rsidP="00E241FC">
            <w:pPr>
              <w:ind w:firstLine="567"/>
              <w:jc w:val="both"/>
              <w:rPr>
                <w:rFonts w:ascii="Times New Roman" w:hAnsi="Times New Roman" w:cs="Times New Roman"/>
                <w:b w:val="0"/>
                <w:bCs w:val="0"/>
                <w:color w:val="auto"/>
              </w:rPr>
            </w:pPr>
            <w:r w:rsidRPr="00E351BF">
              <w:rPr>
                <w:rFonts w:ascii="Times New Roman" w:hAnsi="Times New Roman" w:cs="Times New Roman"/>
                <w:color w:val="auto"/>
              </w:rPr>
              <w:t xml:space="preserve">Стаття 1. </w:t>
            </w:r>
            <w:r w:rsidRPr="00E351BF">
              <w:rPr>
                <w:rFonts w:ascii="Times New Roman" w:hAnsi="Times New Roman" w:cs="Times New Roman"/>
                <w:b w:val="0"/>
                <w:bCs w:val="0"/>
                <w:color w:val="auto"/>
              </w:rPr>
              <w:t xml:space="preserve">Питання формування накопичувальної системи пенсійного страхування </w:t>
            </w:r>
          </w:p>
          <w:p w:rsidR="00AD76A7" w:rsidRPr="00E351BF" w:rsidRDefault="00AD76A7" w:rsidP="00E241FC">
            <w:pPr>
              <w:ind w:firstLine="567"/>
              <w:jc w:val="both"/>
            </w:pPr>
            <w:r w:rsidRPr="00E351BF">
              <w:rPr>
                <w:rFonts w:ascii="Times New Roman" w:hAnsi="Times New Roman" w:cs="Times New Roman"/>
              </w:rPr>
              <w:t xml:space="preserve">1. </w:t>
            </w:r>
            <w:r w:rsidRPr="00E351BF">
              <w:t>Перерахування страхових внесків до Накопичувального пенсійного фонду запроваджується лише після виконання таких умов:</w:t>
            </w:r>
          </w:p>
          <w:p w:rsidR="00AD76A7" w:rsidRPr="00E351BF" w:rsidRDefault="00AD76A7" w:rsidP="00E241FC">
            <w:pPr>
              <w:ind w:firstLine="567"/>
              <w:jc w:val="both"/>
              <w:rPr>
                <w:rFonts w:ascii="Times New Roman" w:eastAsia="SimSun" w:hAnsi="Times New Roman" w:cs="Times New Roman"/>
                <w:color w:val="auto"/>
                <w:lang w:eastAsia="hi-IN" w:bidi="hi-IN"/>
              </w:rPr>
            </w:pPr>
            <w:r w:rsidRPr="00E351BF">
              <w:rPr>
                <w:rFonts w:ascii="Times New Roman" w:eastAsia="SimSun" w:hAnsi="Times New Roman" w:cs="Times New Roman"/>
                <w:color w:val="auto"/>
                <w:lang w:eastAsia="hi-IN" w:bidi="hi-IN"/>
              </w:rPr>
              <w:t>протягом двох років поспіль забезпечено бездефіцитність бюджету Пенсійного фонду України;</w:t>
            </w:r>
          </w:p>
          <w:p w:rsidR="00AD76A7" w:rsidRPr="00E351BF" w:rsidRDefault="00AD76A7" w:rsidP="00E241FC">
            <w:pPr>
              <w:ind w:firstLine="567"/>
              <w:jc w:val="both"/>
              <w:rPr>
                <w:rFonts w:ascii="Times New Roman" w:eastAsia="SimSun" w:hAnsi="Times New Roman"/>
                <w:color w:val="auto"/>
                <w:lang w:val="ru-RU" w:eastAsia="hi-IN" w:bidi="hi-IN"/>
              </w:rPr>
            </w:pPr>
            <w:r w:rsidRPr="00E351BF">
              <w:rPr>
                <w:rFonts w:ascii="Times New Roman" w:eastAsia="SimSun" w:hAnsi="Times New Roman" w:cs="Times New Roman"/>
                <w:color w:val="auto"/>
                <w:lang w:eastAsia="hi-IN" w:bidi="hi-IN"/>
              </w:rPr>
              <w:t>протягом двох років поспіль досягнуто економічне зростання (статистично зафіксований приріст реального валового внутрішнього продукту відбувається не менше двох років)</w:t>
            </w:r>
            <w:r w:rsidRPr="00E351BF">
              <w:rPr>
                <w:rFonts w:ascii="Times New Roman" w:eastAsia="SimSun" w:hAnsi="Times New Roman" w:cs="Times New Roman"/>
                <w:color w:val="auto"/>
                <w:lang w:val="ru-RU" w:eastAsia="hi-IN" w:bidi="hi-IN"/>
              </w:rPr>
              <w:t>.</w:t>
            </w:r>
          </w:p>
          <w:p w:rsidR="00AD76A7" w:rsidRPr="00E351BF" w:rsidRDefault="00AD76A7" w:rsidP="00E241FC">
            <w:pPr>
              <w:ind w:firstLine="567"/>
              <w:jc w:val="both"/>
              <w:rPr>
                <w:lang w:val="ru-RU"/>
              </w:rPr>
            </w:pPr>
          </w:p>
        </w:tc>
      </w:tr>
    </w:tbl>
    <w:p w:rsidR="00AD76A7" w:rsidRPr="00E351BF" w:rsidRDefault="00AD76A7" w:rsidP="00E241FC">
      <w:pPr>
        <w:jc w:val="center"/>
        <w:rPr>
          <w:rFonts w:ascii="Times New Roman" w:hAnsi="Times New Roman" w:cs="Times New Roman"/>
          <w:lang w:val="ru-RU"/>
        </w:rPr>
      </w:pPr>
    </w:p>
    <w:p w:rsidR="00AD76A7" w:rsidRPr="00E351BF" w:rsidRDefault="00AD76A7" w:rsidP="00E241FC">
      <w:pPr>
        <w:jc w:val="center"/>
        <w:rPr>
          <w:rFonts w:ascii="Times New Roman" w:hAnsi="Times New Roman" w:cs="Times New Roman"/>
          <w:lang w:val="ru-RU"/>
        </w:rPr>
      </w:pPr>
    </w:p>
    <w:p w:rsidR="00AD76A7" w:rsidRPr="00603458" w:rsidRDefault="00AD76A7" w:rsidP="00E241FC">
      <w:pPr>
        <w:jc w:val="center"/>
        <w:rPr>
          <w:rFonts w:ascii="Times New Roman" w:hAnsi="Times New Roman" w:cs="Times New Roman"/>
          <w:lang w:val="en-US"/>
        </w:rPr>
      </w:pPr>
      <w:r>
        <w:rPr>
          <w:rFonts w:ascii="Times New Roman" w:hAnsi="Times New Roman" w:cs="Times New Roman"/>
          <w:lang w:val="en-US"/>
        </w:rPr>
        <w:t xml:space="preserve"> </w:t>
      </w:r>
    </w:p>
    <w:p w:rsidR="00AD76A7" w:rsidRPr="00E241FC" w:rsidRDefault="00AD76A7" w:rsidP="00E241FC">
      <w:pPr>
        <w:jc w:val="center"/>
        <w:rPr>
          <w:rFonts w:ascii="Times New Roman" w:hAnsi="Times New Roman" w:cs="Times New Roman"/>
          <w:lang w:val="ru-RU"/>
        </w:rPr>
      </w:pPr>
      <w:r w:rsidRPr="00E351BF">
        <w:rPr>
          <w:rFonts w:ascii="Times New Roman" w:hAnsi="Times New Roman" w:cs="Times New Roman"/>
        </w:rPr>
        <w:t>Народний депутат України                                                                              Королевська Н.Ю.</w:t>
      </w:r>
    </w:p>
    <w:sectPr w:rsidR="00AD76A7" w:rsidRPr="00E241FC" w:rsidSect="00270ACC">
      <w:headerReference w:type="default" r:id="rId6"/>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A7" w:rsidRDefault="00AD76A7">
      <w:r>
        <w:separator/>
      </w:r>
    </w:p>
  </w:endnote>
  <w:endnote w:type="continuationSeparator" w:id="0">
    <w:p w:rsidR="00AD76A7" w:rsidRDefault="00AD76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EFF" w:usb1="C000785B" w:usb2="00000009" w:usb3="00000000" w:csb0="000001FF"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SimSun">
    <w:altName w:val="??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A7" w:rsidRDefault="00AD76A7">
      <w:r>
        <w:separator/>
      </w:r>
    </w:p>
  </w:footnote>
  <w:footnote w:type="continuationSeparator" w:id="0">
    <w:p w:rsidR="00AD76A7" w:rsidRDefault="00AD7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A7" w:rsidRDefault="00AD76A7" w:rsidP="005974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D76A7" w:rsidRDefault="00AD76A7">
    <w:pPr>
      <w:pStyle w:val="Header"/>
      <w:rPr>
        <w:rFonts w:ascii="Times New Roman" w:hAnsi="Times New Roman" w:cs="Times New Roman"/>
      </w:rPr>
    </w:pPr>
  </w:p>
  <w:p w:rsidR="00AD76A7" w:rsidRPr="00270ACC" w:rsidRDefault="00AD76A7">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1FC"/>
    <w:rsid w:val="00270ACC"/>
    <w:rsid w:val="00597477"/>
    <w:rsid w:val="00603458"/>
    <w:rsid w:val="00716D95"/>
    <w:rsid w:val="00AD76A7"/>
    <w:rsid w:val="00BF06A9"/>
    <w:rsid w:val="00C02882"/>
    <w:rsid w:val="00D4051D"/>
    <w:rsid w:val="00E241FC"/>
    <w:rsid w:val="00E351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FC"/>
    <w:pPr>
      <w:widowControl w:val="0"/>
      <w:suppressAutoHyphens/>
    </w:pPr>
    <w:rPr>
      <w:rFonts w:ascii="UkrainianLazurski" w:hAnsi="UkrainianLazurski" w:cs="UkrainianLazurski"/>
      <w:b/>
      <w:bCs/>
      <w:color w:val="000000"/>
      <w:kern w:val="1"/>
      <w:sz w:val="28"/>
      <w:szCs w:val="28"/>
      <w:lang w:val="uk-UA" w:eastAsia="ru-RU"/>
    </w:rPr>
  </w:style>
  <w:style w:type="character" w:default="1" w:styleId="DefaultParagraphFont">
    <w:name w:val="Default Paragraph Font"/>
    <w:link w:val="2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нак Знак2 Знак Знак Знак Знак Знак Знак Знак Знак Знак1 Знак Знак Знак"/>
    <w:basedOn w:val="Normal"/>
    <w:link w:val="DefaultParagraphFont"/>
    <w:uiPriority w:val="99"/>
    <w:rsid w:val="00E241FC"/>
    <w:pPr>
      <w:widowControl/>
      <w:suppressAutoHyphens w:val="0"/>
    </w:pPr>
    <w:rPr>
      <w:rFonts w:ascii="Verdana" w:hAnsi="Verdana" w:cs="Verdana"/>
      <w:b w:val="0"/>
      <w:bCs w:val="0"/>
      <w:color w:val="auto"/>
      <w:kern w:val="0"/>
      <w:sz w:val="20"/>
      <w:szCs w:val="20"/>
      <w:lang w:val="en-US" w:eastAsia="en-US"/>
    </w:rPr>
  </w:style>
  <w:style w:type="table" w:styleId="TableGrid">
    <w:name w:val="Table Grid"/>
    <w:basedOn w:val="TableNormal"/>
    <w:uiPriority w:val="99"/>
    <w:rsid w:val="00E241F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uiPriority w:val="99"/>
    <w:rsid w:val="00E241FC"/>
  </w:style>
  <w:style w:type="paragraph" w:styleId="NormalWeb">
    <w:name w:val="Normal (Web)"/>
    <w:basedOn w:val="Normal"/>
    <w:uiPriority w:val="99"/>
    <w:rsid w:val="00E241FC"/>
    <w:pPr>
      <w:widowControl/>
      <w:suppressAutoHyphens w:val="0"/>
      <w:spacing w:before="100" w:beforeAutospacing="1" w:after="119"/>
    </w:pPr>
    <w:rPr>
      <w:rFonts w:ascii="Times New Roman" w:hAnsi="Times New Roman" w:cs="Times New Roman"/>
      <w:b w:val="0"/>
      <w:bCs w:val="0"/>
      <w:color w:val="auto"/>
      <w:kern w:val="0"/>
      <w:sz w:val="24"/>
      <w:szCs w:val="24"/>
      <w:lang w:eastAsia="uk-UA"/>
    </w:rPr>
  </w:style>
  <w:style w:type="paragraph" w:styleId="Header">
    <w:name w:val="header"/>
    <w:basedOn w:val="Normal"/>
    <w:link w:val="HeaderChar"/>
    <w:uiPriority w:val="99"/>
    <w:rsid w:val="00270ACC"/>
    <w:pPr>
      <w:tabs>
        <w:tab w:val="center" w:pos="4677"/>
        <w:tab w:val="right" w:pos="9355"/>
      </w:tabs>
    </w:pPr>
  </w:style>
  <w:style w:type="character" w:customStyle="1" w:styleId="HeaderChar">
    <w:name w:val="Header Char"/>
    <w:basedOn w:val="DefaultParagraphFont"/>
    <w:link w:val="Header"/>
    <w:uiPriority w:val="99"/>
    <w:semiHidden/>
    <w:rsid w:val="00C82A90"/>
    <w:rPr>
      <w:rFonts w:ascii="UkrainianLazurski" w:hAnsi="UkrainianLazurski" w:cs="UkrainianLazurski"/>
      <w:b/>
      <w:bCs/>
      <w:color w:val="000000"/>
      <w:kern w:val="1"/>
      <w:sz w:val="28"/>
      <w:szCs w:val="28"/>
      <w:lang w:val="uk-UA" w:eastAsia="ru-RU"/>
    </w:rPr>
  </w:style>
  <w:style w:type="character" w:styleId="PageNumber">
    <w:name w:val="page number"/>
    <w:basedOn w:val="DefaultParagraphFont"/>
    <w:uiPriority w:val="99"/>
    <w:rsid w:val="00270ACC"/>
  </w:style>
  <w:style w:type="paragraph" w:styleId="Footer">
    <w:name w:val="footer"/>
    <w:basedOn w:val="Normal"/>
    <w:link w:val="FooterChar"/>
    <w:uiPriority w:val="99"/>
    <w:rsid w:val="00270ACC"/>
    <w:pPr>
      <w:tabs>
        <w:tab w:val="center" w:pos="4677"/>
        <w:tab w:val="right" w:pos="9355"/>
      </w:tabs>
    </w:pPr>
  </w:style>
  <w:style w:type="character" w:customStyle="1" w:styleId="FooterChar">
    <w:name w:val="Footer Char"/>
    <w:basedOn w:val="DefaultParagraphFont"/>
    <w:link w:val="Footer"/>
    <w:uiPriority w:val="99"/>
    <w:semiHidden/>
    <w:rsid w:val="00C82A90"/>
    <w:rPr>
      <w:rFonts w:ascii="UkrainianLazurski" w:hAnsi="UkrainianLazurski" w:cs="UkrainianLazurski"/>
      <w:b/>
      <w:bCs/>
      <w:color w:val="000000"/>
      <w:kern w:val="1"/>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1702</Words>
  <Characters>9707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Пользователь Windows</dc:creator>
  <cp:keywords/>
  <dc:description/>
  <cp:lastModifiedBy>Пользователь Windows</cp:lastModifiedBy>
  <cp:revision>3</cp:revision>
  <dcterms:created xsi:type="dcterms:W3CDTF">2020-01-15T14:25:00Z</dcterms:created>
  <dcterms:modified xsi:type="dcterms:W3CDTF">2020-01-15T14:25:00Z</dcterms:modified>
</cp:coreProperties>
</file>