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D8" w:rsidRDefault="00C448D8" w:rsidP="00B16B5A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/>
          <w:b/>
          <w:bCs/>
          <w:i/>
          <w:iCs/>
          <w:sz w:val="27"/>
          <w:szCs w:val="27"/>
          <w:lang w:val="uk-UA"/>
        </w:rPr>
      </w:pPr>
      <w:r w:rsidRPr="006E71DB">
        <w:rPr>
          <w:rFonts w:ascii="Times New Roman" w:hAnsi="Times New Roman"/>
          <w:b/>
          <w:bCs/>
          <w:sz w:val="27"/>
          <w:szCs w:val="27"/>
          <w:lang w:val="uk-UA"/>
        </w:rPr>
        <w:t>Комітет Верховної Ради України з питань соціальної політики та захисту прав ветеранів</w:t>
      </w: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7"/>
          <w:szCs w:val="27"/>
          <w:lang w:val="uk-UA"/>
        </w:rPr>
      </w:pPr>
      <w:r w:rsidRPr="006E71DB">
        <w:rPr>
          <w:rFonts w:ascii="Times New Roman" w:hAnsi="Times New Roman"/>
          <w:i/>
          <w:iCs/>
          <w:sz w:val="27"/>
          <w:szCs w:val="27"/>
          <w:lang w:val="uk-UA"/>
        </w:rPr>
        <w:t>До розгляду законопроекту</w:t>
      </w: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 xml:space="preserve">Комітет Верховної Ради України з питань бюджету на засіданні від </w:t>
      </w:r>
      <w:r w:rsidR="00136E13">
        <w:rPr>
          <w:rFonts w:ascii="Times New Roman" w:hAnsi="Times New Roman"/>
          <w:sz w:val="27"/>
          <w:szCs w:val="27"/>
          <w:lang w:val="uk-UA"/>
        </w:rPr>
        <w:t xml:space="preserve">24 квітня 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2020 року (протокол № </w:t>
      </w:r>
      <w:r w:rsidR="00136E13">
        <w:rPr>
          <w:rFonts w:ascii="Times New Roman" w:hAnsi="Times New Roman"/>
          <w:sz w:val="27"/>
          <w:szCs w:val="27"/>
          <w:lang w:val="uk-UA"/>
        </w:rPr>
        <w:t>34</w:t>
      </w:r>
      <w:bookmarkStart w:id="0" w:name="_GoBack"/>
      <w:bookmarkEnd w:id="0"/>
      <w:r w:rsidRPr="006E71DB">
        <w:rPr>
          <w:rFonts w:ascii="Times New Roman" w:hAnsi="Times New Roman"/>
          <w:sz w:val="27"/>
          <w:szCs w:val="27"/>
          <w:lang w:val="uk-UA"/>
        </w:rPr>
        <w:t xml:space="preserve">) відповідно до статей  27 і 109 Бюджетного кодексу України та статті 93 Регламенту Верховної Ради України розглянув проект закону про внесення змін до деяких законів України щодо накопичувальної системи державного пенсійного страхування (реєстр. № 2683-1 від 16.01.2020), поданий народними депутатами України </w:t>
      </w:r>
      <w:proofErr w:type="spellStart"/>
      <w:r w:rsidRPr="006E71DB">
        <w:rPr>
          <w:rFonts w:ascii="Times New Roman" w:hAnsi="Times New Roman"/>
          <w:sz w:val="27"/>
          <w:szCs w:val="27"/>
          <w:lang w:val="uk-UA"/>
        </w:rPr>
        <w:t>Королевською</w:t>
      </w:r>
      <w:proofErr w:type="spellEnd"/>
      <w:r w:rsidRPr="006E71DB">
        <w:rPr>
          <w:rFonts w:ascii="Times New Roman" w:hAnsi="Times New Roman"/>
          <w:sz w:val="27"/>
          <w:szCs w:val="27"/>
          <w:lang w:val="uk-UA"/>
        </w:rPr>
        <w:t xml:space="preserve"> Н.Ю., Солодом Ю.В. та іншими, і повідомляється наступне.</w:t>
      </w:r>
    </w:p>
    <w:p w:rsidR="0040736A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Законопроектом</w:t>
      </w:r>
      <w:r w:rsidR="0040736A" w:rsidRPr="006E71DB">
        <w:rPr>
          <w:rFonts w:ascii="Times New Roman" w:hAnsi="Times New Roman"/>
          <w:sz w:val="27"/>
          <w:szCs w:val="27"/>
          <w:lang w:val="uk-UA"/>
        </w:rPr>
        <w:t xml:space="preserve"> пропонується:</w:t>
      </w:r>
    </w:p>
    <w:p w:rsidR="0040736A" w:rsidRPr="006E71DB" w:rsidRDefault="0040736A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надати повноваження Кабінету Міністрів України здійснювати управління пенсійними активами Накопичувального фонду відповідно до його рішень протягом п’яти років з дня запровадження накопичувальної системи пенсійного страхування (після п’яти років можлива участь компаній з управління активами, що обираються за результатом конкурсу);</w:t>
      </w:r>
    </w:p>
    <w:p w:rsidR="00EC7F4F" w:rsidRPr="006E71DB" w:rsidRDefault="00EC7F4F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здійснювати інвестування пенсійних активів протягом п’яти років діяльності Накопичувального фонду виключно у придбання державних цінних паперів;</w:t>
      </w: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 xml:space="preserve">встановити, що забезпечення повернення коштів Накопичувального фонду гарантуватиметься державою шляхом визначення у законі про державний бюджет на відповідний рік видатків на покриття можливих втрат </w:t>
      </w:r>
      <w:r w:rsidR="0040736A" w:rsidRPr="006E71DB">
        <w:rPr>
          <w:rFonts w:ascii="Times New Roman" w:hAnsi="Times New Roman"/>
          <w:sz w:val="27"/>
          <w:szCs w:val="27"/>
          <w:lang w:val="uk-UA"/>
        </w:rPr>
        <w:t xml:space="preserve">у </w:t>
      </w:r>
      <w:r w:rsidRPr="006E71DB">
        <w:rPr>
          <w:rFonts w:ascii="Times New Roman" w:hAnsi="Times New Roman"/>
          <w:sz w:val="27"/>
          <w:szCs w:val="27"/>
          <w:lang w:val="uk-UA"/>
        </w:rPr>
        <w:t>сум</w:t>
      </w:r>
      <w:r w:rsidR="0040736A" w:rsidRPr="006E71DB">
        <w:rPr>
          <w:rFonts w:ascii="Times New Roman" w:hAnsi="Times New Roman"/>
          <w:sz w:val="27"/>
          <w:szCs w:val="27"/>
          <w:lang w:val="uk-UA"/>
        </w:rPr>
        <w:t>і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, не меншій прогнозній вартості активів Накопичувального </w:t>
      </w:r>
      <w:r w:rsidR="00EC7F4F" w:rsidRPr="006E71DB">
        <w:rPr>
          <w:rFonts w:ascii="Times New Roman" w:hAnsi="Times New Roman"/>
          <w:sz w:val="27"/>
          <w:szCs w:val="27"/>
          <w:lang w:val="uk-UA"/>
        </w:rPr>
        <w:t>фонду на кінець планового року;</w:t>
      </w:r>
    </w:p>
    <w:p w:rsidR="00EC7F4F" w:rsidRPr="006E71DB" w:rsidRDefault="00EC7F4F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визначити передумови для перерахування страхових внесків до Накопичувального пенсійного фонду тощо.</w:t>
      </w: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При цьому, всупереч вимогам статті 91 Регламенту Верховної Ради України та статті 27 Бюджетного кодексу України суб’єктами права законодавчої ініціативи не надано фінансово-економічних  обґрунтувань (включаючи відповідних розрахунків) щодо обсягів видатків, які будуть покриватися за рахунок коштів державного бюджету,  та пропозицій змін до законодавчих актів України щодо скорочення витрат бюджету та / або джерел додаткових надходжень бюджету для досягнення збалансованості бюджету</w:t>
      </w:r>
      <w:r w:rsidR="00EC7F4F" w:rsidRPr="006E71DB">
        <w:rPr>
          <w:rFonts w:ascii="Times New Roman" w:hAnsi="Times New Roman"/>
          <w:sz w:val="27"/>
          <w:szCs w:val="27"/>
          <w:lang w:val="uk-UA"/>
        </w:rPr>
        <w:t>, про що також відмічено Міністерством фінансів України</w:t>
      </w:r>
      <w:r w:rsidRPr="006E71DB">
        <w:rPr>
          <w:rFonts w:ascii="Times New Roman" w:hAnsi="Times New Roman"/>
          <w:sz w:val="27"/>
          <w:szCs w:val="27"/>
          <w:lang w:val="uk-UA"/>
        </w:rPr>
        <w:t>.</w:t>
      </w:r>
    </w:p>
    <w:p w:rsidR="00EC7F4F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 xml:space="preserve">Міністерство фінансів України у своєму експертному висновку зазначає, що реалізація законопроекту не </w:t>
      </w:r>
      <w:r w:rsidR="007E18C7">
        <w:rPr>
          <w:rFonts w:ascii="Times New Roman" w:hAnsi="Times New Roman"/>
          <w:sz w:val="27"/>
          <w:szCs w:val="27"/>
          <w:lang w:val="uk-UA"/>
        </w:rPr>
        <w:t xml:space="preserve">має прямого впливу на видаткову частину </w:t>
      </w:r>
      <w:r w:rsidRPr="006E71DB">
        <w:rPr>
          <w:rFonts w:ascii="Times New Roman" w:hAnsi="Times New Roman"/>
          <w:sz w:val="27"/>
          <w:szCs w:val="27"/>
          <w:lang w:val="uk-UA"/>
        </w:rPr>
        <w:lastRenderedPageBreak/>
        <w:t>держа</w:t>
      </w:r>
      <w:r w:rsidR="007E18C7">
        <w:rPr>
          <w:rFonts w:ascii="Times New Roman" w:hAnsi="Times New Roman"/>
          <w:sz w:val="27"/>
          <w:szCs w:val="27"/>
          <w:lang w:val="uk-UA"/>
        </w:rPr>
        <w:t>в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ного бюджету в поточному бюджетному періоді, а також висловлює зауваження щодо суті законопроекту </w:t>
      </w:r>
      <w:r w:rsidRPr="006E71DB">
        <w:rPr>
          <w:rFonts w:ascii="Times New Roman" w:hAnsi="Times New Roman"/>
          <w:i/>
          <w:sz w:val="27"/>
          <w:szCs w:val="27"/>
          <w:lang w:val="uk-UA"/>
        </w:rPr>
        <w:t>(</w:t>
      </w:r>
      <w:r w:rsidR="007E18C7">
        <w:rPr>
          <w:rFonts w:ascii="Times New Roman" w:hAnsi="Times New Roman"/>
          <w:i/>
          <w:sz w:val="27"/>
          <w:szCs w:val="27"/>
          <w:lang w:val="uk-UA"/>
        </w:rPr>
        <w:t>копія</w:t>
      </w:r>
      <w:r w:rsidRPr="006E71DB">
        <w:rPr>
          <w:rFonts w:ascii="Times New Roman" w:hAnsi="Times New Roman"/>
          <w:i/>
          <w:sz w:val="27"/>
          <w:szCs w:val="27"/>
          <w:lang w:val="uk-UA"/>
        </w:rPr>
        <w:t xml:space="preserve"> висновку додається)</w:t>
      </w:r>
      <w:r w:rsidR="00EC7F4F" w:rsidRPr="006E71DB">
        <w:rPr>
          <w:rFonts w:ascii="Times New Roman" w:hAnsi="Times New Roman"/>
          <w:i/>
          <w:sz w:val="27"/>
          <w:szCs w:val="27"/>
          <w:lang w:val="uk-UA"/>
        </w:rPr>
        <w:t xml:space="preserve">, </w:t>
      </w:r>
      <w:r w:rsidR="00EC7F4F" w:rsidRPr="006E71DB">
        <w:rPr>
          <w:rFonts w:ascii="Times New Roman" w:hAnsi="Times New Roman"/>
          <w:sz w:val="27"/>
          <w:szCs w:val="27"/>
          <w:lang w:val="uk-UA"/>
        </w:rPr>
        <w:t>а саме:</w:t>
      </w:r>
    </w:p>
    <w:p w:rsidR="00EC7F4F" w:rsidRPr="006E71DB" w:rsidRDefault="00EC7F4F" w:rsidP="00EC7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запровадження механізму гарантування державою внесків до накопичувальної системи нівелює концепцію такої системи та перекладає відповідальність суб’єктів накопичувальної системи на державу з огляду на те, що метою накопичувальної системи пенсійного страхування є можливість отримувати після досягнення пенсійного віку громадянами додаткові пенсійні виплати за рахунок внесків до накопичувальної системи;</w:t>
      </w:r>
    </w:p>
    <w:p w:rsidR="00EC7F4F" w:rsidRPr="006E71DB" w:rsidRDefault="00EC7F4F" w:rsidP="00EC7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законодавча пропозиція щодо заборони переходу на сплату внесків до солідарної системи загальнообов’язкового державного пенсійного страхування осіб, які стали учасниками накопичувальної системи</w:t>
      </w:r>
      <w:r w:rsidR="00920764" w:rsidRPr="006E71DB">
        <w:rPr>
          <w:rFonts w:ascii="Times New Roman" w:hAnsi="Times New Roman"/>
          <w:sz w:val="27"/>
          <w:szCs w:val="27"/>
          <w:lang w:val="uk-UA"/>
        </w:rPr>
        <w:t xml:space="preserve"> державного пенсійного страхування, може призвести до зменшення надходжень солідарної системи та розбалансування бюджету Пенсійного фонду України і, як наслідок,  потребуватиме додаткових видатків державного бюджету на покриття дефіциту Пенсійного фонду України;</w:t>
      </w:r>
    </w:p>
    <w:p w:rsidR="00EC7F4F" w:rsidRPr="006E71DB" w:rsidRDefault="00920764" w:rsidP="00EC7F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пропозиція щодо визначення зберігачем коштів Накопичувального пенсійного фонду виключно державними банками не може бути реалізована з огляду на вимоги пункту 5 статті 116 Конституції України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E71DB" w:rsidRPr="006E71DB">
        <w:rPr>
          <w:rFonts w:ascii="Times New Roman" w:hAnsi="Times New Roman"/>
          <w:i/>
          <w:sz w:val="27"/>
          <w:szCs w:val="27"/>
          <w:lang w:val="uk-UA"/>
        </w:rPr>
        <w:t>(</w:t>
      </w:r>
      <w:r w:rsidRPr="006E71DB">
        <w:rPr>
          <w:rFonts w:ascii="Times New Roman" w:hAnsi="Times New Roman"/>
          <w:i/>
          <w:sz w:val="27"/>
          <w:szCs w:val="27"/>
          <w:lang w:val="uk-UA"/>
        </w:rPr>
        <w:t xml:space="preserve">встановлено, що Кабінет Міністрів України забезпечує рівні умови розвитку всіх форм власності та здійснює управління об’єктами </w:t>
      </w:r>
      <w:r w:rsidR="006E71DB" w:rsidRPr="006E71DB">
        <w:rPr>
          <w:rFonts w:ascii="Times New Roman" w:hAnsi="Times New Roman"/>
          <w:i/>
          <w:sz w:val="27"/>
          <w:szCs w:val="27"/>
          <w:lang w:val="uk-UA"/>
        </w:rPr>
        <w:t>державної</w:t>
      </w:r>
      <w:r w:rsidRPr="006E71DB">
        <w:rPr>
          <w:rFonts w:ascii="Times New Roman" w:hAnsi="Times New Roman"/>
          <w:i/>
          <w:sz w:val="27"/>
          <w:szCs w:val="27"/>
          <w:lang w:val="uk-UA"/>
        </w:rPr>
        <w:t xml:space="preserve"> власності відповідно до закону</w:t>
      </w:r>
      <w:r w:rsidR="006E71DB" w:rsidRPr="006E71DB">
        <w:rPr>
          <w:rFonts w:ascii="Times New Roman" w:hAnsi="Times New Roman"/>
          <w:i/>
          <w:sz w:val="27"/>
          <w:szCs w:val="27"/>
          <w:lang w:val="uk-UA"/>
        </w:rPr>
        <w:t>)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 xml:space="preserve"> та Оновлених Засад стратегічного реформування державного банківського сектору (стратегічні принципи), схвален</w:t>
      </w:r>
      <w:r w:rsidR="007E18C7">
        <w:rPr>
          <w:rFonts w:ascii="Times New Roman" w:hAnsi="Times New Roman"/>
          <w:sz w:val="27"/>
          <w:szCs w:val="27"/>
          <w:lang w:val="uk-UA"/>
        </w:rPr>
        <w:t>их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 xml:space="preserve"> Урядом в лютому 2018 року </w:t>
      </w:r>
      <w:r w:rsidR="006E71DB" w:rsidRPr="006E71DB">
        <w:rPr>
          <w:rFonts w:ascii="Times New Roman" w:hAnsi="Times New Roman"/>
          <w:i/>
          <w:sz w:val="27"/>
          <w:szCs w:val="27"/>
          <w:lang w:val="uk-UA"/>
        </w:rPr>
        <w:t>(встановлено, що ключовим завданням держави є забезпечення функціонування надійної та конкурентної банківської системи, переважна частка якої в середньостроковій перспективі знаходитиметься в приватній власності)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>.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2A2D3D" w:rsidRPr="006E71DB" w:rsidRDefault="002A2D3D" w:rsidP="002A2D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>Термін набрання чинності відповідного закону, визначеного у законопроекті, не відповідає частині третій статті 27 Бюджетного кодексу України, якою передбачено, що 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 липня року, що передує плановому, вводяться в дію не раніше початку бюджетного періоду, що настає за плановим.</w:t>
      </w:r>
    </w:p>
    <w:p w:rsidR="002A2D3D" w:rsidRPr="006E71DB" w:rsidRDefault="002A2D3D" w:rsidP="002A2D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 xml:space="preserve">За наслідками розгляду Комітет прийняв рішення, що положення проекту закону про внесення змін до деяких законів України щодо накопичувальної системи державного пенсійного страхування (реєстр. № 2683-1 від 16.01.2020), поданий народними депутатами України </w:t>
      </w:r>
      <w:proofErr w:type="spellStart"/>
      <w:r w:rsidRPr="006E71DB">
        <w:rPr>
          <w:rFonts w:ascii="Times New Roman" w:hAnsi="Times New Roman"/>
          <w:sz w:val="27"/>
          <w:szCs w:val="27"/>
          <w:lang w:val="uk-UA"/>
        </w:rPr>
        <w:t>Королевською</w:t>
      </w:r>
      <w:proofErr w:type="spellEnd"/>
      <w:r w:rsidRPr="006E71DB">
        <w:rPr>
          <w:rFonts w:ascii="Times New Roman" w:hAnsi="Times New Roman"/>
          <w:sz w:val="27"/>
          <w:szCs w:val="27"/>
          <w:lang w:val="uk-UA"/>
        </w:rPr>
        <w:t xml:space="preserve"> Н.Ю., Солодом Ю.В. та іншими, матиме вплив на показники бюджету (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 xml:space="preserve">може призвести до </w:t>
      </w:r>
      <w:r w:rsidRPr="006E71DB">
        <w:rPr>
          <w:rFonts w:ascii="Times New Roman" w:hAnsi="Times New Roman"/>
          <w:sz w:val="27"/>
          <w:szCs w:val="27"/>
          <w:lang w:val="uk-UA"/>
        </w:rPr>
        <w:t>збільш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>ення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 витрат державного бюджету</w:t>
      </w:r>
      <w:r w:rsidR="006E71DB" w:rsidRPr="006E71DB">
        <w:rPr>
          <w:rFonts w:ascii="Times New Roman" w:hAnsi="Times New Roman"/>
          <w:sz w:val="27"/>
          <w:szCs w:val="27"/>
          <w:lang w:val="uk-UA"/>
        </w:rPr>
        <w:t>).</w:t>
      </w:r>
      <w:r w:rsidRPr="006E71DB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E71DB">
        <w:rPr>
          <w:rFonts w:ascii="Times New Roman" w:hAnsi="Times New Roman"/>
          <w:color w:val="000000"/>
          <w:sz w:val="27"/>
          <w:szCs w:val="27"/>
          <w:lang w:val="uk-UA"/>
        </w:rPr>
        <w:t>У разі прийняття відповідного закону до 15 липня 2020 року він має вводитися в дію не раніше 1 січня 2021 року, а після 15 липня 2020 року - не раніше 1 січня 2022 року (або 1 січня наступного за цим року залежно від часу прийняття закону).</w:t>
      </w:r>
    </w:p>
    <w:p w:rsidR="002A2D3D" w:rsidRPr="006E71DB" w:rsidRDefault="002A2D3D" w:rsidP="002A2D3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E71DB">
        <w:rPr>
          <w:rFonts w:ascii="Times New Roman" w:hAnsi="Times New Roman"/>
          <w:sz w:val="27"/>
          <w:szCs w:val="27"/>
          <w:lang w:val="uk-UA"/>
        </w:rPr>
        <w:t xml:space="preserve">Додаток: на 2 </w:t>
      </w:r>
      <w:proofErr w:type="spellStart"/>
      <w:r w:rsidRPr="006E71DB">
        <w:rPr>
          <w:rFonts w:ascii="Times New Roman" w:hAnsi="Times New Roman"/>
          <w:sz w:val="27"/>
          <w:szCs w:val="27"/>
          <w:lang w:val="uk-UA"/>
        </w:rPr>
        <w:t>арк</w:t>
      </w:r>
      <w:proofErr w:type="spellEnd"/>
      <w:r w:rsidRPr="006E71DB">
        <w:rPr>
          <w:rFonts w:ascii="Times New Roman" w:hAnsi="Times New Roman"/>
          <w:sz w:val="27"/>
          <w:szCs w:val="27"/>
          <w:lang w:val="uk-UA"/>
        </w:rPr>
        <w:t>.</w:t>
      </w:r>
    </w:p>
    <w:p w:rsidR="002A2D3D" w:rsidRPr="006E71DB" w:rsidRDefault="002A2D3D" w:rsidP="002A2D3D">
      <w:pPr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B16B5A" w:rsidRPr="002A2D3D" w:rsidRDefault="002A2D3D" w:rsidP="006E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71DB">
        <w:rPr>
          <w:rFonts w:ascii="Times New Roman" w:hAnsi="Times New Roman"/>
          <w:b/>
          <w:bCs/>
          <w:sz w:val="27"/>
          <w:szCs w:val="27"/>
          <w:lang w:val="uk-UA"/>
        </w:rPr>
        <w:t xml:space="preserve">Голова Комітету                                                           </w:t>
      </w:r>
      <w:r w:rsidR="006E71DB">
        <w:rPr>
          <w:rFonts w:ascii="Times New Roman" w:hAnsi="Times New Roman"/>
          <w:b/>
          <w:bCs/>
          <w:sz w:val="27"/>
          <w:szCs w:val="27"/>
          <w:lang w:val="uk-UA"/>
        </w:rPr>
        <w:t xml:space="preserve">   </w:t>
      </w:r>
      <w:r w:rsidRPr="006E71DB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       </w:t>
      </w:r>
      <w:proofErr w:type="spellStart"/>
      <w:r w:rsidRPr="006E71DB">
        <w:rPr>
          <w:rFonts w:ascii="Times New Roman" w:hAnsi="Times New Roman"/>
          <w:b/>
          <w:bCs/>
          <w:sz w:val="27"/>
          <w:szCs w:val="27"/>
          <w:lang w:val="uk-UA"/>
        </w:rPr>
        <w:t>Ю.Ю.Арістов</w:t>
      </w:r>
      <w:proofErr w:type="spellEnd"/>
    </w:p>
    <w:p w:rsidR="00B16B5A" w:rsidRPr="002A2D3D" w:rsidRDefault="00B16B5A" w:rsidP="00B16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16B5A" w:rsidRPr="002A2D3D" w:rsidSect="006E71DB">
      <w:headerReference w:type="default" r:id="rId7"/>
      <w:headerReference w:type="first" r:id="rId8"/>
      <w:footerReference w:type="first" r:id="rId9"/>
      <w:pgSz w:w="11906" w:h="16838"/>
      <w:pgMar w:top="1134" w:right="851" w:bottom="709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CB" w:rsidRDefault="00B620CB" w:rsidP="005E306B">
      <w:pPr>
        <w:spacing w:after="0" w:line="240" w:lineRule="auto"/>
      </w:pPr>
      <w:r>
        <w:separator/>
      </w:r>
    </w:p>
  </w:endnote>
  <w:endnote w:type="continuationSeparator" w:id="0">
    <w:p w:rsidR="00B620CB" w:rsidRDefault="00B620CB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B620CB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CB" w:rsidRDefault="00B620CB" w:rsidP="005E306B">
      <w:pPr>
        <w:spacing w:after="0" w:line="240" w:lineRule="auto"/>
      </w:pPr>
      <w:r>
        <w:separator/>
      </w:r>
    </w:p>
  </w:footnote>
  <w:footnote w:type="continuationSeparator" w:id="0">
    <w:p w:rsidR="00B620CB" w:rsidRDefault="00B620CB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B43C5"/>
    <w:rsid w:val="000F1586"/>
    <w:rsid w:val="001105D2"/>
    <w:rsid w:val="00136E13"/>
    <w:rsid w:val="00141617"/>
    <w:rsid w:val="001635C2"/>
    <w:rsid w:val="0019108F"/>
    <w:rsid w:val="0019231B"/>
    <w:rsid w:val="001966F0"/>
    <w:rsid w:val="001D3C24"/>
    <w:rsid w:val="0021032F"/>
    <w:rsid w:val="00235CD7"/>
    <w:rsid w:val="002A2D3D"/>
    <w:rsid w:val="002A5D4C"/>
    <w:rsid w:val="002B5FC1"/>
    <w:rsid w:val="002D0561"/>
    <w:rsid w:val="002E0A18"/>
    <w:rsid w:val="002E31BF"/>
    <w:rsid w:val="002E44DA"/>
    <w:rsid w:val="00375EA3"/>
    <w:rsid w:val="003D0996"/>
    <w:rsid w:val="003D1CBA"/>
    <w:rsid w:val="0040736A"/>
    <w:rsid w:val="0043339B"/>
    <w:rsid w:val="00451750"/>
    <w:rsid w:val="00470B9A"/>
    <w:rsid w:val="004717F5"/>
    <w:rsid w:val="004852FA"/>
    <w:rsid w:val="004B3675"/>
    <w:rsid w:val="004C53C1"/>
    <w:rsid w:val="004E4F5C"/>
    <w:rsid w:val="004F7B8A"/>
    <w:rsid w:val="00500CE7"/>
    <w:rsid w:val="0050620F"/>
    <w:rsid w:val="00545919"/>
    <w:rsid w:val="0055005A"/>
    <w:rsid w:val="0056039F"/>
    <w:rsid w:val="0056352F"/>
    <w:rsid w:val="00572BE4"/>
    <w:rsid w:val="00592C72"/>
    <w:rsid w:val="005A4728"/>
    <w:rsid w:val="005B71F5"/>
    <w:rsid w:val="005C674D"/>
    <w:rsid w:val="005E306B"/>
    <w:rsid w:val="005F20B5"/>
    <w:rsid w:val="00626A3E"/>
    <w:rsid w:val="00660B13"/>
    <w:rsid w:val="0066623D"/>
    <w:rsid w:val="006C4E43"/>
    <w:rsid w:val="006E71DB"/>
    <w:rsid w:val="006F10E8"/>
    <w:rsid w:val="00713E93"/>
    <w:rsid w:val="00722930"/>
    <w:rsid w:val="0073224C"/>
    <w:rsid w:val="007A0252"/>
    <w:rsid w:val="007B31A3"/>
    <w:rsid w:val="007B6545"/>
    <w:rsid w:val="007D2B6C"/>
    <w:rsid w:val="007E18C7"/>
    <w:rsid w:val="007F5D91"/>
    <w:rsid w:val="00802A81"/>
    <w:rsid w:val="0080545D"/>
    <w:rsid w:val="00811821"/>
    <w:rsid w:val="0084269F"/>
    <w:rsid w:val="008D0011"/>
    <w:rsid w:val="008D7BBE"/>
    <w:rsid w:val="0091360E"/>
    <w:rsid w:val="00920764"/>
    <w:rsid w:val="00945B68"/>
    <w:rsid w:val="00957D31"/>
    <w:rsid w:val="00972232"/>
    <w:rsid w:val="009865D4"/>
    <w:rsid w:val="009A720A"/>
    <w:rsid w:val="009C492B"/>
    <w:rsid w:val="009C4B4E"/>
    <w:rsid w:val="00A00059"/>
    <w:rsid w:val="00A60747"/>
    <w:rsid w:val="00A7635E"/>
    <w:rsid w:val="00A76A60"/>
    <w:rsid w:val="00A81240"/>
    <w:rsid w:val="00A833C8"/>
    <w:rsid w:val="00AD7F82"/>
    <w:rsid w:val="00AE3090"/>
    <w:rsid w:val="00B16B5A"/>
    <w:rsid w:val="00B311E8"/>
    <w:rsid w:val="00B620CB"/>
    <w:rsid w:val="00BA62CD"/>
    <w:rsid w:val="00BD0801"/>
    <w:rsid w:val="00BF1E95"/>
    <w:rsid w:val="00BF6EAE"/>
    <w:rsid w:val="00C11FB6"/>
    <w:rsid w:val="00C27AE9"/>
    <w:rsid w:val="00C434B6"/>
    <w:rsid w:val="00C448D8"/>
    <w:rsid w:val="00C779EB"/>
    <w:rsid w:val="00C853DC"/>
    <w:rsid w:val="00C86266"/>
    <w:rsid w:val="00C92F3D"/>
    <w:rsid w:val="00CA7044"/>
    <w:rsid w:val="00CC39A1"/>
    <w:rsid w:val="00CD4A38"/>
    <w:rsid w:val="00CE3E1B"/>
    <w:rsid w:val="00CE6A4B"/>
    <w:rsid w:val="00D03165"/>
    <w:rsid w:val="00D22048"/>
    <w:rsid w:val="00D242C2"/>
    <w:rsid w:val="00D37FA2"/>
    <w:rsid w:val="00D52549"/>
    <w:rsid w:val="00D57E1B"/>
    <w:rsid w:val="00DC0D9C"/>
    <w:rsid w:val="00DD4D23"/>
    <w:rsid w:val="00DF0115"/>
    <w:rsid w:val="00EC7F4F"/>
    <w:rsid w:val="00ED14C7"/>
    <w:rsid w:val="00F55423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14CAC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19E7-9B62-472E-9B58-EDDB1E0B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Наталя Василівна Кочергіна</cp:lastModifiedBy>
  <cp:revision>6</cp:revision>
  <cp:lastPrinted>2020-03-27T13:56:00Z</cp:lastPrinted>
  <dcterms:created xsi:type="dcterms:W3CDTF">2020-03-24T09:45:00Z</dcterms:created>
  <dcterms:modified xsi:type="dcterms:W3CDTF">2020-04-27T08:46:00Z</dcterms:modified>
</cp:coreProperties>
</file>