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1" w:rsidRPr="0076536B" w:rsidRDefault="00D87541" w:rsidP="007C5571">
      <w:pPr>
        <w:pStyle w:val="1"/>
        <w:rPr>
          <w:b/>
          <w:sz w:val="24"/>
          <w:szCs w:val="24"/>
        </w:rPr>
      </w:pPr>
    </w:p>
    <w:p w:rsidR="00D87541" w:rsidRDefault="00D87541" w:rsidP="007C5571">
      <w:pPr>
        <w:pStyle w:val="1"/>
        <w:rPr>
          <w:b/>
          <w:szCs w:val="28"/>
        </w:rPr>
      </w:pPr>
    </w:p>
    <w:p w:rsidR="00D87541" w:rsidRDefault="00D87541" w:rsidP="00C81F42"/>
    <w:p w:rsidR="00D87541" w:rsidRDefault="00D87541" w:rsidP="00C81F42"/>
    <w:p w:rsidR="00D87541" w:rsidRPr="00C81F42" w:rsidRDefault="00D87541" w:rsidP="00C81F42"/>
    <w:p w:rsidR="00D87541" w:rsidRDefault="00D87541" w:rsidP="00C81F42"/>
    <w:p w:rsidR="00D87541" w:rsidRDefault="00D87541" w:rsidP="00C81F42"/>
    <w:p w:rsidR="00D87541" w:rsidRPr="00C81F42" w:rsidRDefault="00D87541" w:rsidP="00C81F42"/>
    <w:p w:rsidR="00D87541" w:rsidRPr="008C564A" w:rsidRDefault="00D87541" w:rsidP="007C5571">
      <w:pPr>
        <w:pStyle w:val="1"/>
        <w:rPr>
          <w:szCs w:val="28"/>
        </w:rPr>
      </w:pPr>
    </w:p>
    <w:p w:rsidR="00D87541" w:rsidRPr="00C04B4A" w:rsidRDefault="00D87541" w:rsidP="007C5571">
      <w:pPr>
        <w:pStyle w:val="1"/>
        <w:rPr>
          <w:b/>
          <w:sz w:val="28"/>
          <w:szCs w:val="28"/>
        </w:rPr>
      </w:pPr>
      <w:r w:rsidRPr="00C04B4A">
        <w:rPr>
          <w:b/>
          <w:sz w:val="28"/>
          <w:szCs w:val="28"/>
        </w:rPr>
        <w:t>ВИСНОВОК</w:t>
      </w:r>
    </w:p>
    <w:p w:rsidR="00D87541" w:rsidRPr="006C5B81" w:rsidRDefault="00D87541" w:rsidP="00BA7D02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E2412B">
        <w:rPr>
          <w:rFonts w:ascii="Times New Roman" w:hAnsi="Times New Roman"/>
          <w:sz w:val="28"/>
          <w:szCs w:val="28"/>
        </w:rPr>
        <w:t xml:space="preserve">на </w:t>
      </w:r>
      <w:r w:rsidRPr="00E2412B">
        <w:rPr>
          <w:rFonts w:ascii="Times New Roman" w:hAnsi="Times New Roman"/>
          <w:spacing w:val="-2"/>
          <w:sz w:val="28"/>
          <w:szCs w:val="28"/>
        </w:rPr>
        <w:t>проект Закону України «Про внесення змін до деяких законів України щодо накопичувальної системи державного пенсійного страхування</w:t>
      </w:r>
      <w:r w:rsidRPr="00E2412B">
        <w:rPr>
          <w:rFonts w:ascii="Times New Roman" w:hAnsi="Times New Roman"/>
          <w:sz w:val="28"/>
          <w:szCs w:val="28"/>
        </w:rPr>
        <w:t>»</w:t>
      </w:r>
    </w:p>
    <w:p w:rsidR="00D87541" w:rsidRPr="006E241F" w:rsidRDefault="00D87541" w:rsidP="006E241F"/>
    <w:p w:rsidR="00256276" w:rsidRPr="00DF1163" w:rsidRDefault="00D87541" w:rsidP="00886BB0">
      <w:pPr>
        <w:ind w:firstLine="709"/>
        <w:jc w:val="both"/>
        <w:rPr>
          <w:rStyle w:val="ab"/>
          <w:i w:val="0"/>
          <w:sz w:val="28"/>
          <w:szCs w:val="28"/>
        </w:rPr>
      </w:pPr>
      <w:r w:rsidRPr="00886BB0">
        <w:rPr>
          <w:rStyle w:val="ab"/>
          <w:i w:val="0"/>
          <w:sz w:val="28"/>
          <w:szCs w:val="28"/>
        </w:rPr>
        <w:t xml:space="preserve">Законопроект поданий як альтернативний до проекту Закону України </w:t>
      </w:r>
      <w:r w:rsidRPr="00886BB0">
        <w:rPr>
          <w:rStyle w:val="ab"/>
          <w:sz w:val="28"/>
          <w:szCs w:val="28"/>
        </w:rPr>
        <w:t>«</w:t>
      </w:r>
      <w:r w:rsidRPr="00886BB0">
        <w:rPr>
          <w:sz w:val="28"/>
          <w:szCs w:val="28"/>
          <w:lang w:eastAsia="uk-UA"/>
        </w:rPr>
        <w:t>Про загальнообов’язкове накопичувальне пенсійне забезпечення</w:t>
      </w:r>
      <w:r w:rsidRPr="00886BB0">
        <w:rPr>
          <w:rStyle w:val="ab"/>
          <w:sz w:val="28"/>
          <w:szCs w:val="28"/>
        </w:rPr>
        <w:t>»</w:t>
      </w:r>
      <w:r w:rsidRPr="00886BB0">
        <w:rPr>
          <w:rStyle w:val="ab"/>
          <w:i w:val="0"/>
          <w:sz w:val="28"/>
          <w:szCs w:val="28"/>
        </w:rPr>
        <w:t xml:space="preserve"> </w:t>
      </w:r>
      <w:r w:rsidR="00C04B4A">
        <w:rPr>
          <w:rStyle w:val="ab"/>
          <w:i w:val="0"/>
          <w:sz w:val="28"/>
          <w:szCs w:val="28"/>
        </w:rPr>
        <w:br/>
      </w:r>
      <w:r w:rsidRPr="00886BB0">
        <w:rPr>
          <w:rStyle w:val="ab"/>
          <w:i w:val="0"/>
          <w:sz w:val="28"/>
          <w:szCs w:val="28"/>
        </w:rPr>
        <w:t>(реєстр. № 2683 від 27.12.2019)</w:t>
      </w:r>
      <w:r w:rsidR="00256276">
        <w:rPr>
          <w:rStyle w:val="ab"/>
          <w:i w:val="0"/>
          <w:sz w:val="28"/>
          <w:szCs w:val="28"/>
        </w:rPr>
        <w:t xml:space="preserve">, але має самостійне значення, оскільки його положення не збігаються за </w:t>
      </w:r>
      <w:r w:rsidR="00256276" w:rsidRPr="00DF1163">
        <w:rPr>
          <w:rStyle w:val="ab"/>
          <w:i w:val="0"/>
          <w:sz w:val="28"/>
          <w:szCs w:val="28"/>
        </w:rPr>
        <w:t xml:space="preserve">змістом з положеннями основного проекту. </w:t>
      </w:r>
    </w:p>
    <w:p w:rsidR="00256276" w:rsidRPr="00256276" w:rsidRDefault="00256276" w:rsidP="00256276">
      <w:pPr>
        <w:ind w:firstLine="737"/>
        <w:jc w:val="both"/>
        <w:outlineLvl w:val="0"/>
        <w:rPr>
          <w:sz w:val="28"/>
          <w:szCs w:val="28"/>
        </w:rPr>
      </w:pPr>
      <w:r w:rsidRPr="00DF1163">
        <w:rPr>
          <w:rStyle w:val="ab"/>
          <w:i w:val="0"/>
          <w:sz w:val="28"/>
          <w:szCs w:val="28"/>
        </w:rPr>
        <w:t xml:space="preserve">Головна відмінність проекту </w:t>
      </w:r>
      <w:r w:rsidR="00BA7D02" w:rsidRPr="00DF1163">
        <w:rPr>
          <w:rStyle w:val="ab"/>
          <w:i w:val="0"/>
          <w:sz w:val="28"/>
          <w:szCs w:val="28"/>
          <w:lang w:val="ru-RU"/>
        </w:rPr>
        <w:t xml:space="preserve">реєстр. </w:t>
      </w:r>
      <w:r w:rsidRPr="00DF1163">
        <w:rPr>
          <w:rStyle w:val="ab"/>
          <w:i w:val="0"/>
          <w:sz w:val="28"/>
          <w:szCs w:val="28"/>
        </w:rPr>
        <w:t>№ 2683</w:t>
      </w:r>
      <w:r w:rsidR="00BA7D02" w:rsidRPr="00DF1163">
        <w:rPr>
          <w:rStyle w:val="ab"/>
          <w:i w:val="0"/>
          <w:sz w:val="28"/>
          <w:szCs w:val="28"/>
        </w:rPr>
        <w:t>-1</w:t>
      </w:r>
      <w:r w:rsidRPr="00DF1163">
        <w:rPr>
          <w:rStyle w:val="ab"/>
          <w:i w:val="0"/>
          <w:sz w:val="28"/>
          <w:szCs w:val="28"/>
        </w:rPr>
        <w:t xml:space="preserve"> від основного проекту полягає в тому, що у ньому вдосконалення правового регулювання накопичувальної системи загальнообов’язкового державного пенсійного страхування як другого рівня системи пенсійного забезпечення в Україні здійснюється у межах чинної си</w:t>
      </w:r>
      <w:r w:rsidR="00C04B4A" w:rsidRPr="00DF1163">
        <w:rPr>
          <w:rStyle w:val="ab"/>
          <w:i w:val="0"/>
          <w:sz w:val="28"/>
          <w:szCs w:val="28"/>
        </w:rPr>
        <w:t>стеми такого забезпечення (ст. 2</w:t>
      </w:r>
      <w:r w:rsidRPr="00DF1163">
        <w:rPr>
          <w:rStyle w:val="ab"/>
          <w:i w:val="0"/>
          <w:sz w:val="28"/>
          <w:szCs w:val="28"/>
        </w:rPr>
        <w:t xml:space="preserve"> Закону  України «Про загальнообов’язков</w:t>
      </w:r>
      <w:r w:rsidR="00BA7D02" w:rsidRPr="00DF1163">
        <w:rPr>
          <w:rStyle w:val="ab"/>
          <w:i w:val="0"/>
          <w:sz w:val="28"/>
          <w:szCs w:val="28"/>
        </w:rPr>
        <w:t xml:space="preserve">е державне пенсійне страхування» – </w:t>
      </w:r>
      <w:r w:rsidR="00762689" w:rsidRPr="00DF1163">
        <w:rPr>
          <w:rStyle w:val="ab"/>
          <w:i w:val="0"/>
          <w:sz w:val="28"/>
          <w:szCs w:val="28"/>
        </w:rPr>
        <w:t>далі Закон</w:t>
      </w:r>
      <w:r w:rsidRPr="00DF1163">
        <w:rPr>
          <w:rStyle w:val="ab"/>
          <w:i w:val="0"/>
          <w:sz w:val="28"/>
          <w:szCs w:val="28"/>
        </w:rPr>
        <w:t xml:space="preserve">). Водночас у основному проекті другий рівень </w:t>
      </w:r>
      <w:r w:rsidR="00C04B4A" w:rsidRPr="00DF1163">
        <w:rPr>
          <w:rStyle w:val="ab"/>
          <w:i w:val="0"/>
          <w:sz w:val="28"/>
          <w:szCs w:val="28"/>
        </w:rPr>
        <w:t xml:space="preserve">системи пенсійного забезпечення </w:t>
      </w:r>
      <w:r w:rsidRPr="00DF1163">
        <w:rPr>
          <w:rStyle w:val="ab"/>
          <w:i w:val="0"/>
          <w:sz w:val="28"/>
          <w:szCs w:val="28"/>
        </w:rPr>
        <w:t>розглядається як система загальнообов’язкового н</w:t>
      </w:r>
      <w:r w:rsidRPr="00DF1163">
        <w:rPr>
          <w:sz w:val="28"/>
          <w:szCs w:val="28"/>
          <w:shd w:val="clear" w:color="auto" w:fill="FFFFFF"/>
        </w:rPr>
        <w:t xml:space="preserve">акопичувального пенсійного забезпечення, що базується на засадах обов’язковості накопичення коштів учасниками системи у </w:t>
      </w:r>
      <w:r w:rsidRPr="00DF1163">
        <w:rPr>
          <w:sz w:val="28"/>
          <w:szCs w:val="28"/>
        </w:rPr>
        <w:t>Пенсійному казначействі</w:t>
      </w:r>
      <w:r w:rsidRPr="00DF1163">
        <w:rPr>
          <w:sz w:val="28"/>
          <w:szCs w:val="28"/>
          <w:shd w:val="clear" w:color="auto" w:fill="FFFFFF"/>
        </w:rPr>
        <w:t xml:space="preserve"> або </w:t>
      </w:r>
      <w:r w:rsidR="00BA7D02" w:rsidRPr="00DF1163">
        <w:rPr>
          <w:sz w:val="28"/>
          <w:szCs w:val="28"/>
          <w:shd w:val="clear" w:color="auto" w:fill="FFFFFF"/>
        </w:rPr>
        <w:t>в</w:t>
      </w:r>
      <w:r w:rsidRPr="00DF1163">
        <w:rPr>
          <w:sz w:val="28"/>
          <w:szCs w:val="28"/>
          <w:shd w:val="clear" w:color="auto" w:fill="FFFFFF"/>
        </w:rPr>
        <w:t xml:space="preserve"> авторизованих недержавних пенсійних фондах та отримання пенсійних виплат на</w:t>
      </w:r>
      <w:r w:rsidRPr="00256276">
        <w:rPr>
          <w:sz w:val="28"/>
          <w:szCs w:val="28"/>
          <w:shd w:val="clear" w:color="auto" w:fill="FFFFFF"/>
        </w:rPr>
        <w:t xml:space="preserve"> умовах та в порядку, передбачених законодавством про загальнообов’язкове накопичувальне пенсійне забезпечення</w:t>
      </w:r>
      <w:r w:rsidR="007A2A9E">
        <w:rPr>
          <w:sz w:val="28"/>
          <w:szCs w:val="28"/>
          <w:shd w:val="clear" w:color="auto" w:fill="FFFFFF"/>
        </w:rPr>
        <w:t>, що змінює існуючу модель пенсійного забезпечення в Україні</w:t>
      </w:r>
      <w:r w:rsidR="00995808">
        <w:rPr>
          <w:sz w:val="28"/>
          <w:szCs w:val="28"/>
          <w:shd w:val="clear" w:color="auto" w:fill="FFFFFF"/>
        </w:rPr>
        <w:t xml:space="preserve"> (запропоновані у проекті зміни до вказаного положення ст. 2 Закону)</w:t>
      </w:r>
      <w:r w:rsidR="00C04B4A">
        <w:rPr>
          <w:sz w:val="28"/>
          <w:szCs w:val="28"/>
          <w:shd w:val="clear" w:color="auto" w:fill="FFFFFF"/>
        </w:rPr>
        <w:t xml:space="preserve">.  </w:t>
      </w:r>
    </w:p>
    <w:p w:rsidR="00D87541" w:rsidRPr="00DF1163" w:rsidRDefault="00D87541" w:rsidP="004E1DD3">
      <w:pPr>
        <w:ind w:firstLine="737"/>
        <w:jc w:val="both"/>
        <w:outlineLvl w:val="0"/>
        <w:rPr>
          <w:rStyle w:val="ab"/>
          <w:i w:val="0"/>
          <w:sz w:val="28"/>
          <w:szCs w:val="28"/>
        </w:rPr>
      </w:pPr>
      <w:r w:rsidRPr="00886BB0">
        <w:rPr>
          <w:rStyle w:val="ab"/>
          <w:i w:val="0"/>
          <w:sz w:val="28"/>
          <w:szCs w:val="28"/>
        </w:rPr>
        <w:t xml:space="preserve">Як </w:t>
      </w:r>
      <w:r w:rsidR="00995808">
        <w:rPr>
          <w:rStyle w:val="ab"/>
          <w:i w:val="0"/>
          <w:sz w:val="28"/>
          <w:szCs w:val="28"/>
        </w:rPr>
        <w:t xml:space="preserve">зазначено </w:t>
      </w:r>
      <w:r w:rsidRPr="00886BB0">
        <w:rPr>
          <w:rStyle w:val="ab"/>
          <w:i w:val="0"/>
          <w:sz w:val="28"/>
          <w:szCs w:val="28"/>
        </w:rPr>
        <w:t>у пояснювальн</w:t>
      </w:r>
      <w:r w:rsidR="00256276">
        <w:rPr>
          <w:rStyle w:val="ab"/>
          <w:i w:val="0"/>
          <w:sz w:val="28"/>
          <w:szCs w:val="28"/>
        </w:rPr>
        <w:t>ій</w:t>
      </w:r>
      <w:r w:rsidRPr="00886BB0">
        <w:rPr>
          <w:rStyle w:val="ab"/>
          <w:i w:val="0"/>
          <w:sz w:val="28"/>
          <w:szCs w:val="28"/>
        </w:rPr>
        <w:t xml:space="preserve"> запис</w:t>
      </w:r>
      <w:r w:rsidR="00256276">
        <w:rPr>
          <w:rStyle w:val="ab"/>
          <w:i w:val="0"/>
          <w:sz w:val="28"/>
          <w:szCs w:val="28"/>
        </w:rPr>
        <w:t>ці</w:t>
      </w:r>
      <w:r w:rsidRPr="00886BB0">
        <w:rPr>
          <w:rStyle w:val="ab"/>
          <w:i w:val="0"/>
          <w:sz w:val="28"/>
          <w:szCs w:val="28"/>
        </w:rPr>
        <w:t xml:space="preserve">  до проекту, </w:t>
      </w:r>
      <w:r>
        <w:rPr>
          <w:rStyle w:val="ab"/>
          <w:i w:val="0"/>
          <w:sz w:val="28"/>
          <w:szCs w:val="28"/>
        </w:rPr>
        <w:t xml:space="preserve">його метою є </w:t>
      </w:r>
      <w:r w:rsidRPr="006F5CEC">
        <w:rPr>
          <w:sz w:val="28"/>
          <w:szCs w:val="28"/>
        </w:rPr>
        <w:t xml:space="preserve">посилення </w:t>
      </w:r>
      <w:r w:rsidR="00F8609C">
        <w:rPr>
          <w:sz w:val="28"/>
          <w:szCs w:val="28"/>
        </w:rPr>
        <w:t>«</w:t>
      </w:r>
      <w:r w:rsidRPr="006F5CEC">
        <w:rPr>
          <w:sz w:val="28"/>
          <w:szCs w:val="28"/>
        </w:rPr>
        <w:t xml:space="preserve">складових </w:t>
      </w:r>
      <w:r w:rsidRPr="006F5CEC">
        <w:rPr>
          <w:color w:val="000000"/>
          <w:sz w:val="28"/>
          <w:szCs w:val="28"/>
          <w:shd w:val="clear" w:color="auto" w:fill="FFFFFF"/>
        </w:rPr>
        <w:t xml:space="preserve">накопичувальної системи державного пенсійного страхування та критеріїв, за досягнення яких можливе </w:t>
      </w:r>
      <w:r w:rsidRPr="006F5CEC">
        <w:rPr>
          <w:sz w:val="28"/>
          <w:szCs w:val="28"/>
        </w:rPr>
        <w:t>функціонування другого рівня системи пенсійного забезпечення в Україні</w:t>
      </w:r>
      <w:r w:rsidRPr="00886BB0">
        <w:rPr>
          <w:rStyle w:val="ab"/>
          <w:i w:val="0"/>
          <w:sz w:val="28"/>
          <w:szCs w:val="28"/>
        </w:rPr>
        <w:t>»</w:t>
      </w:r>
      <w:r w:rsidR="00256276">
        <w:rPr>
          <w:rStyle w:val="ab"/>
          <w:i w:val="0"/>
          <w:sz w:val="28"/>
          <w:szCs w:val="28"/>
        </w:rPr>
        <w:t xml:space="preserve"> (п. 2), а його  прийняття, зокрема, «сприятиме … </w:t>
      </w:r>
      <w:r w:rsidR="00256276" w:rsidRPr="00DF1163">
        <w:rPr>
          <w:rStyle w:val="ab"/>
          <w:i w:val="0"/>
          <w:sz w:val="28"/>
          <w:szCs w:val="28"/>
        </w:rPr>
        <w:t xml:space="preserve">ефективному упровадженню накопичувальної системи пенсійного страхування» </w:t>
      </w:r>
      <w:r w:rsidR="00F66322" w:rsidRPr="00DF1163">
        <w:rPr>
          <w:rStyle w:val="ab"/>
          <w:i w:val="0"/>
          <w:sz w:val="28"/>
          <w:szCs w:val="28"/>
        </w:rPr>
        <w:t>(п. 6)</w:t>
      </w:r>
      <w:r w:rsidRPr="00DF1163">
        <w:rPr>
          <w:rStyle w:val="ab"/>
          <w:i w:val="0"/>
          <w:sz w:val="28"/>
          <w:szCs w:val="28"/>
        </w:rPr>
        <w:t>.</w:t>
      </w:r>
    </w:p>
    <w:p w:rsidR="00D87541" w:rsidRPr="005D6016" w:rsidRDefault="00995808" w:rsidP="007A2A9E">
      <w:pPr>
        <w:ind w:firstLine="737"/>
        <w:jc w:val="both"/>
        <w:outlineLvl w:val="0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1163">
        <w:rPr>
          <w:rStyle w:val="ab"/>
          <w:i w:val="0"/>
          <w:sz w:val="28"/>
          <w:szCs w:val="28"/>
        </w:rPr>
        <w:t>Для забезпечення цього</w:t>
      </w:r>
      <w:r w:rsidR="00256276" w:rsidRPr="00DF1163">
        <w:rPr>
          <w:rStyle w:val="ab"/>
          <w:i w:val="0"/>
          <w:sz w:val="28"/>
          <w:szCs w:val="28"/>
        </w:rPr>
        <w:t xml:space="preserve"> </w:t>
      </w:r>
      <w:r w:rsidR="007A2A9E" w:rsidRPr="00DF1163">
        <w:rPr>
          <w:bCs/>
          <w:sz w:val="28"/>
          <w:szCs w:val="28"/>
        </w:rPr>
        <w:t>у</w:t>
      </w:r>
      <w:r w:rsidR="00D87541" w:rsidRPr="00DF1163">
        <w:rPr>
          <w:bCs/>
          <w:sz w:val="28"/>
          <w:szCs w:val="28"/>
        </w:rPr>
        <w:t xml:space="preserve"> законопроекті </w:t>
      </w:r>
      <w:r w:rsidR="00BA7D02" w:rsidRPr="00DF1163">
        <w:rPr>
          <w:bCs/>
          <w:sz w:val="28"/>
          <w:szCs w:val="28"/>
        </w:rPr>
        <w:t xml:space="preserve">реєстр. </w:t>
      </w:r>
      <w:r w:rsidR="00D87541" w:rsidRPr="00DF1163">
        <w:rPr>
          <w:sz w:val="28"/>
          <w:szCs w:val="28"/>
        </w:rPr>
        <w:t>№ 2683-1</w:t>
      </w:r>
      <w:r w:rsidR="007A2A9E" w:rsidRPr="00DF1163">
        <w:rPr>
          <w:sz w:val="28"/>
          <w:szCs w:val="28"/>
        </w:rPr>
        <w:t>, зокрема,</w:t>
      </w:r>
      <w:r w:rsidR="00D87541" w:rsidRPr="00DF1163">
        <w:rPr>
          <w:bCs/>
          <w:spacing w:val="-2"/>
          <w:sz w:val="28"/>
          <w:szCs w:val="28"/>
        </w:rPr>
        <w:t xml:space="preserve"> </w:t>
      </w:r>
      <w:r w:rsidR="00D87541" w:rsidRPr="00DF1163">
        <w:rPr>
          <w:sz w:val="28"/>
          <w:szCs w:val="28"/>
        </w:rPr>
        <w:t>пропонується надати право Кабінету Міністрів України</w:t>
      </w:r>
      <w:r w:rsidR="00D87541">
        <w:rPr>
          <w:sz w:val="28"/>
          <w:szCs w:val="28"/>
        </w:rPr>
        <w:t xml:space="preserve"> здійснювати </w:t>
      </w:r>
      <w:r w:rsidR="00D87541" w:rsidRPr="007C1DA1">
        <w:rPr>
          <w:sz w:val="28"/>
          <w:szCs w:val="28"/>
        </w:rPr>
        <w:t xml:space="preserve">управління пенсійними активами Накопичувального </w:t>
      </w:r>
      <w:r w:rsidR="00C04B4A">
        <w:rPr>
          <w:sz w:val="28"/>
          <w:szCs w:val="28"/>
        </w:rPr>
        <w:t xml:space="preserve">пенсійного </w:t>
      </w:r>
      <w:r w:rsidR="00D87541" w:rsidRPr="007C1DA1">
        <w:rPr>
          <w:sz w:val="28"/>
          <w:szCs w:val="28"/>
        </w:rPr>
        <w:t>фонду</w:t>
      </w:r>
      <w:r w:rsidR="00C04B4A">
        <w:rPr>
          <w:sz w:val="28"/>
          <w:szCs w:val="28"/>
        </w:rPr>
        <w:t xml:space="preserve"> </w:t>
      </w:r>
      <w:r w:rsidR="00C04B4A">
        <w:rPr>
          <w:sz w:val="28"/>
          <w:szCs w:val="28"/>
        </w:rPr>
        <w:br/>
        <w:t>(далі – Накопичувальний фонд)</w:t>
      </w:r>
      <w:r w:rsidR="00D87541" w:rsidRPr="007C1DA1">
        <w:rPr>
          <w:sz w:val="28"/>
          <w:szCs w:val="28"/>
        </w:rPr>
        <w:t xml:space="preserve">. </w:t>
      </w:r>
      <w:r w:rsidR="00D87541">
        <w:rPr>
          <w:sz w:val="28"/>
          <w:szCs w:val="28"/>
        </w:rPr>
        <w:t>Крім того, п</w:t>
      </w:r>
      <w:r w:rsidR="00D87541" w:rsidRPr="007C1DA1">
        <w:rPr>
          <w:sz w:val="28"/>
          <w:szCs w:val="28"/>
        </w:rPr>
        <w:t>ісля п’яти років з дня запровадження накопичувальної системи пенсійного страхування управління пенсійними активами Накопичувального фонду може здійснюватися компаніями з управління активами, що обираються за результатом конкурсу відповідно до цього Закону</w:t>
      </w:r>
      <w:r w:rsidR="00C04B4A">
        <w:rPr>
          <w:sz w:val="28"/>
          <w:szCs w:val="28"/>
        </w:rPr>
        <w:t>.</w:t>
      </w:r>
      <w:r w:rsidR="007A2A9E">
        <w:rPr>
          <w:sz w:val="28"/>
          <w:szCs w:val="28"/>
        </w:rPr>
        <w:t xml:space="preserve"> </w:t>
      </w:r>
      <w:r w:rsidR="00D87541">
        <w:rPr>
          <w:sz w:val="28"/>
          <w:szCs w:val="28"/>
        </w:rPr>
        <w:t>П</w:t>
      </w:r>
      <w:r w:rsidR="00D87541" w:rsidRPr="007C1DA1">
        <w:rPr>
          <w:sz w:val="28"/>
          <w:szCs w:val="28"/>
        </w:rPr>
        <w:t>ередбачається</w:t>
      </w:r>
      <w:r w:rsidR="00D87541">
        <w:rPr>
          <w:sz w:val="28"/>
          <w:szCs w:val="28"/>
        </w:rPr>
        <w:t xml:space="preserve"> також</w:t>
      </w:r>
      <w:r w:rsidR="00D87541" w:rsidRPr="007C1DA1">
        <w:rPr>
          <w:sz w:val="28"/>
          <w:szCs w:val="28"/>
        </w:rPr>
        <w:t xml:space="preserve">, що протягом п’яти років з дня запровадження накопичувальної системи пенсійного страхування </w:t>
      </w:r>
      <w:r w:rsidR="00D87541" w:rsidRPr="007C1DA1">
        <w:rPr>
          <w:sz w:val="28"/>
          <w:szCs w:val="28"/>
        </w:rPr>
        <w:lastRenderedPageBreak/>
        <w:t>розміщення коштів Накопичувального фонду може здійснюватися лише в активи у державних облігаціях України, казначейських зобов’язаннях України та інших цінних паперах, емітентом яких є</w:t>
      </w:r>
      <w:r w:rsidR="00D87541" w:rsidRPr="007C1DA1">
        <w:rPr>
          <w:sz w:val="28"/>
          <w:szCs w:val="28"/>
          <w:lang w:eastAsia="en-US"/>
        </w:rPr>
        <w:t xml:space="preserve"> держава в особі уповноважених нею органів державної влади. </w:t>
      </w:r>
      <w:r w:rsidR="00D87541" w:rsidRPr="00015D9D">
        <w:rPr>
          <w:sz w:val="28"/>
          <w:szCs w:val="28"/>
        </w:rPr>
        <w:t xml:space="preserve">Крім того, </w:t>
      </w:r>
      <w:r w:rsidR="00C04B4A">
        <w:rPr>
          <w:sz w:val="28"/>
          <w:szCs w:val="28"/>
        </w:rPr>
        <w:t xml:space="preserve">встановлюється, </w:t>
      </w:r>
      <w:r w:rsidR="007A2A9E">
        <w:rPr>
          <w:sz w:val="28"/>
          <w:szCs w:val="28"/>
        </w:rPr>
        <w:t xml:space="preserve">що </w:t>
      </w:r>
      <w:r w:rsidR="007A2A9E" w:rsidRPr="00015D9D">
        <w:rPr>
          <w:sz w:val="28"/>
          <w:szCs w:val="28"/>
        </w:rPr>
        <w:t xml:space="preserve">протягом </w:t>
      </w:r>
      <w:r w:rsidR="00CA4A17">
        <w:rPr>
          <w:sz w:val="28"/>
          <w:szCs w:val="28"/>
        </w:rPr>
        <w:br/>
      </w:r>
      <w:bookmarkStart w:id="0" w:name="_GoBack"/>
      <w:bookmarkEnd w:id="0"/>
      <w:r w:rsidR="007A2A9E" w:rsidRPr="00015D9D">
        <w:rPr>
          <w:sz w:val="28"/>
          <w:szCs w:val="28"/>
        </w:rPr>
        <w:t>10 років з дня запровадження накопичувальної системи державного пенсійного страхування внески до Накопичувального фонду сплачуються застрахованими особами ви</w:t>
      </w:r>
      <w:r w:rsidR="007A2A9E">
        <w:rPr>
          <w:sz w:val="28"/>
          <w:szCs w:val="28"/>
        </w:rPr>
        <w:t xml:space="preserve">ключно на добровільних засадах, а </w:t>
      </w:r>
      <w:r w:rsidR="00D87541" w:rsidRPr="00015D9D">
        <w:rPr>
          <w:sz w:val="28"/>
          <w:szCs w:val="28"/>
        </w:rPr>
        <w:t>п</w:t>
      </w:r>
      <w:r w:rsidR="00D87541" w:rsidRPr="00015D9D">
        <w:rPr>
          <w:bCs/>
          <w:sz w:val="28"/>
          <w:szCs w:val="28"/>
        </w:rPr>
        <w:t xml:space="preserve">ерерахування страхових внесків до Накопичувального фонду  запроваджуватиметься лише після того, як </w:t>
      </w:r>
      <w:r w:rsidR="00D87541" w:rsidRPr="007C2C66">
        <w:rPr>
          <w:rFonts w:eastAsia="SimSun"/>
          <w:bCs/>
          <w:kern w:val="1"/>
          <w:sz w:val="28"/>
          <w:szCs w:val="28"/>
          <w:lang w:eastAsia="hi-IN" w:bidi="hi-IN"/>
        </w:rPr>
        <w:t>протягом двох років поспіль забезпечено бездефіцитність б</w:t>
      </w:r>
      <w:r w:rsidR="00D87541" w:rsidRPr="009F793A">
        <w:rPr>
          <w:rFonts w:eastAsia="SimSun"/>
          <w:bCs/>
          <w:kern w:val="1"/>
          <w:sz w:val="28"/>
          <w:szCs w:val="28"/>
          <w:lang w:eastAsia="hi-IN" w:bidi="hi-IN"/>
        </w:rPr>
        <w:t xml:space="preserve">юджету Пенсійного фонду України та </w:t>
      </w:r>
      <w:r w:rsidR="00D87541" w:rsidRPr="007C2C66">
        <w:rPr>
          <w:rFonts w:eastAsia="SimSun"/>
          <w:bCs/>
          <w:kern w:val="1"/>
          <w:sz w:val="28"/>
          <w:szCs w:val="28"/>
          <w:lang w:eastAsia="hi-IN" w:bidi="hi-IN"/>
        </w:rPr>
        <w:t xml:space="preserve">протягом двох років поспіль </w:t>
      </w:r>
      <w:r w:rsidR="00D87541" w:rsidRPr="009F793A">
        <w:rPr>
          <w:rFonts w:eastAsia="SimSun"/>
          <w:bCs/>
          <w:kern w:val="1"/>
          <w:sz w:val="28"/>
          <w:szCs w:val="28"/>
          <w:lang w:eastAsia="hi-IN" w:bidi="hi-IN"/>
        </w:rPr>
        <w:t xml:space="preserve">буде </w:t>
      </w:r>
      <w:r w:rsidR="00D87541" w:rsidRPr="007C2C66">
        <w:rPr>
          <w:rFonts w:eastAsia="SimSun"/>
          <w:bCs/>
          <w:kern w:val="1"/>
          <w:sz w:val="28"/>
          <w:szCs w:val="28"/>
          <w:lang w:eastAsia="hi-IN" w:bidi="hi-IN"/>
        </w:rPr>
        <w:t xml:space="preserve">досягнуто економічне зростання (статистично зафіксований приріст реального валового </w:t>
      </w:r>
      <w:r w:rsidR="00D87541" w:rsidRPr="005D6016">
        <w:rPr>
          <w:rFonts w:eastAsia="SimSun"/>
          <w:bCs/>
          <w:kern w:val="1"/>
          <w:sz w:val="28"/>
          <w:szCs w:val="28"/>
          <w:lang w:eastAsia="hi-IN" w:bidi="hi-IN"/>
        </w:rPr>
        <w:t>внутрішнього продукту відбувається не менше двох років).</w:t>
      </w:r>
    </w:p>
    <w:p w:rsidR="001D27BA" w:rsidRPr="001D27BA" w:rsidRDefault="00DF1163" w:rsidP="00762689">
      <w:pPr>
        <w:ind w:firstLine="737"/>
        <w:jc w:val="both"/>
        <w:outlineLvl w:val="0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Головне управління підтримує </w:t>
      </w:r>
      <w:r w:rsidRPr="00DF1163">
        <w:rPr>
          <w:rFonts w:eastAsia="SimSun"/>
          <w:bCs/>
          <w:kern w:val="1"/>
          <w:sz w:val="28"/>
          <w:szCs w:val="28"/>
          <w:lang w:eastAsia="hi-IN" w:bidi="hi-IN"/>
        </w:rPr>
        <w:t xml:space="preserve">необхідність подальшого реформування </w:t>
      </w:r>
      <w:r w:rsidR="001D27BA" w:rsidRPr="00DF1163">
        <w:rPr>
          <w:rFonts w:eastAsia="SimSun"/>
          <w:bCs/>
          <w:kern w:val="1"/>
          <w:sz w:val="28"/>
          <w:szCs w:val="28"/>
          <w:lang w:eastAsia="hi-IN" w:bidi="hi-IN"/>
        </w:rPr>
        <w:t>пенсійної системи України,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та,</w:t>
      </w:r>
      <w:r w:rsidR="001D27BA" w:rsidRPr="00DF1163">
        <w:rPr>
          <w:rFonts w:eastAsia="SimSun"/>
          <w:bCs/>
          <w:kern w:val="1"/>
          <w:sz w:val="28"/>
          <w:szCs w:val="28"/>
          <w:lang w:eastAsia="hi-IN" w:bidi="hi-IN"/>
        </w:rPr>
        <w:t> одночасно з приводу запропонованого у проекті способу запровадження ЗНПЗ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>,</w:t>
      </w:r>
      <w:r w:rsidR="001D27BA" w:rsidRPr="00DF1163">
        <w:rPr>
          <w:rFonts w:eastAsia="SimSun"/>
          <w:bCs/>
          <w:kern w:val="1"/>
          <w:sz w:val="28"/>
          <w:szCs w:val="28"/>
          <w:lang w:eastAsia="hi-IN" w:bidi="hi-IN"/>
        </w:rPr>
        <w:t xml:space="preserve"> вважає за доцільне висловити такі міркування.</w:t>
      </w:r>
      <w:r w:rsidR="001D27BA" w:rsidRPr="001D27BA">
        <w:rPr>
          <w:rFonts w:eastAsia="SimSun"/>
          <w:bCs/>
          <w:kern w:val="1"/>
          <w:sz w:val="28"/>
          <w:szCs w:val="28"/>
          <w:lang w:eastAsia="hi-IN" w:bidi="hi-IN"/>
        </w:rPr>
        <w:t> </w:t>
      </w:r>
    </w:p>
    <w:p w:rsidR="007A2A9E" w:rsidRDefault="007A2A9E" w:rsidP="00762689">
      <w:pPr>
        <w:ind w:firstLine="737"/>
        <w:jc w:val="both"/>
        <w:outlineLvl w:val="0"/>
        <w:rPr>
          <w:rFonts w:eastAsia="Times New Roman"/>
          <w:sz w:val="28"/>
          <w:szCs w:val="28"/>
          <w:lang w:eastAsia="en-GB"/>
        </w:rPr>
      </w:pPr>
      <w:r w:rsidRPr="005D6016">
        <w:rPr>
          <w:b/>
          <w:sz w:val="28"/>
          <w:szCs w:val="28"/>
          <w:lang w:eastAsia="uk-UA"/>
        </w:rPr>
        <w:t>1.</w:t>
      </w:r>
      <w:r w:rsidRPr="005D6016">
        <w:rPr>
          <w:sz w:val="28"/>
          <w:szCs w:val="28"/>
          <w:lang w:eastAsia="uk-UA"/>
        </w:rPr>
        <w:t xml:space="preserve">  </w:t>
      </w:r>
      <w:r w:rsidRPr="005D6016">
        <w:rPr>
          <w:rFonts w:eastAsia="Times New Roman"/>
          <w:bCs/>
          <w:sz w:val="28"/>
          <w:szCs w:val="28"/>
          <w:lang w:eastAsia="uk-UA"/>
        </w:rPr>
        <w:t>Н</w:t>
      </w:r>
      <w:r w:rsidR="006C5B81" w:rsidRPr="005D6016">
        <w:rPr>
          <w:rFonts w:eastAsia="Times New Roman"/>
          <w:bCs/>
          <w:sz w:val="28"/>
          <w:szCs w:val="28"/>
          <w:lang w:eastAsia="uk-UA"/>
        </w:rPr>
        <w:t xml:space="preserve">а нашу думку, зазначений </w:t>
      </w:r>
      <w:r w:rsidRPr="005D6016">
        <w:rPr>
          <w:rFonts w:eastAsia="Times New Roman"/>
          <w:sz w:val="28"/>
          <w:szCs w:val="28"/>
          <w:lang w:eastAsia="en-GB"/>
        </w:rPr>
        <w:t>процес має розпоч</w:t>
      </w:r>
      <w:r w:rsidRPr="005D6016">
        <w:rPr>
          <w:sz w:val="28"/>
          <w:szCs w:val="28"/>
          <w:lang w:eastAsia="en-GB"/>
        </w:rPr>
        <w:t>ин</w:t>
      </w:r>
      <w:r w:rsidRPr="005D6016">
        <w:rPr>
          <w:rFonts w:eastAsia="Times New Roman"/>
          <w:sz w:val="28"/>
          <w:szCs w:val="28"/>
          <w:lang w:eastAsia="en-GB"/>
        </w:rPr>
        <w:t>атися лише після об’єктивного визначення факту зростання</w:t>
      </w:r>
      <w:r w:rsidRPr="002A2BC0">
        <w:rPr>
          <w:rFonts w:eastAsia="Times New Roman"/>
          <w:sz w:val="28"/>
          <w:szCs w:val="28"/>
          <w:lang w:eastAsia="en-GB"/>
        </w:rPr>
        <w:t xml:space="preserve"> економіки в Україні, що дасть можливість </w:t>
      </w:r>
      <w:r w:rsidR="00BA7D02" w:rsidRPr="00DF1163">
        <w:rPr>
          <w:rFonts w:eastAsia="Times New Roman"/>
          <w:sz w:val="28"/>
          <w:szCs w:val="28"/>
          <w:lang w:eastAsia="en-GB"/>
        </w:rPr>
        <w:t xml:space="preserve">для </w:t>
      </w:r>
      <w:r w:rsidRPr="00DF1163">
        <w:rPr>
          <w:rFonts w:eastAsia="Times New Roman"/>
          <w:sz w:val="28"/>
          <w:szCs w:val="28"/>
          <w:lang w:eastAsia="en-GB"/>
        </w:rPr>
        <w:t>ефективного розміщення та використання коштів накопичувальної пенсійної системи, оскільки в іншому випадку зібрані кошти не дадуть бажаного для нормального функціонування цієї системи прибутку, що призведе</w:t>
      </w:r>
      <w:r w:rsidRPr="002A2BC0">
        <w:rPr>
          <w:rFonts w:eastAsia="Times New Roman"/>
          <w:sz w:val="28"/>
          <w:szCs w:val="28"/>
          <w:lang w:eastAsia="en-GB"/>
        </w:rPr>
        <w:t xml:space="preserve"> до дискредитації самої ідеї такого страхування. </w:t>
      </w:r>
      <w:r w:rsidR="00762689">
        <w:rPr>
          <w:rFonts w:eastAsia="Times New Roman"/>
          <w:sz w:val="28"/>
          <w:szCs w:val="28"/>
          <w:lang w:eastAsia="en-GB"/>
        </w:rPr>
        <w:t>При цьому, на нашу думку, визначені у новій редакції п. 9 розділу ХV «Прикінцеві положення» Закону орієнтири (</w:t>
      </w:r>
      <w:r w:rsidR="00762689" w:rsidRPr="007C2C66">
        <w:rPr>
          <w:rFonts w:eastAsia="SimSun"/>
          <w:bCs/>
          <w:kern w:val="1"/>
          <w:sz w:val="28"/>
          <w:szCs w:val="28"/>
          <w:lang w:eastAsia="hi-IN" w:bidi="hi-IN"/>
        </w:rPr>
        <w:t>бездефіцитність б</w:t>
      </w:r>
      <w:r w:rsidR="00762689" w:rsidRPr="009F793A">
        <w:rPr>
          <w:rFonts w:eastAsia="SimSun"/>
          <w:bCs/>
          <w:kern w:val="1"/>
          <w:sz w:val="28"/>
          <w:szCs w:val="28"/>
          <w:lang w:eastAsia="hi-IN" w:bidi="hi-IN"/>
        </w:rPr>
        <w:t xml:space="preserve">юджету Пенсійного фонду України </w:t>
      </w:r>
      <w:r w:rsidR="00762689">
        <w:rPr>
          <w:rFonts w:eastAsia="SimSun"/>
          <w:bCs/>
          <w:kern w:val="1"/>
          <w:sz w:val="28"/>
          <w:szCs w:val="28"/>
          <w:lang w:eastAsia="hi-IN" w:bidi="hi-IN"/>
        </w:rPr>
        <w:t xml:space="preserve">та </w:t>
      </w:r>
      <w:r w:rsidR="00762689" w:rsidRPr="007C2C66">
        <w:rPr>
          <w:rFonts w:eastAsia="SimSun"/>
          <w:bCs/>
          <w:kern w:val="1"/>
          <w:sz w:val="28"/>
          <w:szCs w:val="28"/>
          <w:lang w:eastAsia="hi-IN" w:bidi="hi-IN"/>
        </w:rPr>
        <w:t xml:space="preserve">статистично зафіксований приріст реального валового внутрішнього продукту </w:t>
      </w:r>
      <w:r w:rsidR="00762689">
        <w:rPr>
          <w:rFonts w:eastAsia="SimSun"/>
          <w:bCs/>
          <w:kern w:val="1"/>
          <w:sz w:val="28"/>
          <w:szCs w:val="28"/>
          <w:lang w:eastAsia="hi-IN" w:bidi="hi-IN"/>
        </w:rPr>
        <w:t xml:space="preserve">також протягом 2 років) не є такими, що з високою гарантією забезпечать успішне впровадження накопичувальної пенсійної системи.  </w:t>
      </w:r>
    </w:p>
    <w:p w:rsidR="007A2A9E" w:rsidRDefault="007A2A9E" w:rsidP="007A2A9E">
      <w:pPr>
        <w:tabs>
          <w:tab w:val="left" w:pos="0"/>
          <w:tab w:val="left" w:pos="284"/>
        </w:tabs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GB"/>
        </w:rPr>
        <w:t>Зазначимо, що н</w:t>
      </w:r>
      <w:r w:rsidRPr="002A2BC0">
        <w:rPr>
          <w:sz w:val="28"/>
          <w:szCs w:val="28"/>
        </w:rPr>
        <w:t xml:space="preserve">аслідками невдалого вибору </w:t>
      </w:r>
      <w:r>
        <w:rPr>
          <w:sz w:val="28"/>
          <w:szCs w:val="28"/>
        </w:rPr>
        <w:t xml:space="preserve">моменту </w:t>
      </w:r>
      <w:r w:rsidRPr="002A2BC0">
        <w:rPr>
          <w:sz w:val="28"/>
          <w:szCs w:val="28"/>
        </w:rPr>
        <w:t xml:space="preserve">запровадження накопичувальної системи пенсійного страхування можуть бути не тільки порушення прав громадян, що є очевидним, а й негативний вплив на подальшу долю самої ідеї </w:t>
      </w:r>
      <w:r w:rsidR="00762689">
        <w:rPr>
          <w:sz w:val="28"/>
          <w:szCs w:val="28"/>
        </w:rPr>
        <w:t xml:space="preserve">використання </w:t>
      </w:r>
      <w:r>
        <w:rPr>
          <w:sz w:val="28"/>
          <w:szCs w:val="28"/>
        </w:rPr>
        <w:t xml:space="preserve">вказаних форм пенсійного забезпечення </w:t>
      </w:r>
      <w:r w:rsidRPr="002A2BC0">
        <w:rPr>
          <w:sz w:val="28"/>
          <w:szCs w:val="28"/>
        </w:rPr>
        <w:t xml:space="preserve"> у </w:t>
      </w:r>
      <w:r w:rsidRPr="00DF1163">
        <w:rPr>
          <w:sz w:val="28"/>
          <w:szCs w:val="28"/>
        </w:rPr>
        <w:t>зв’язку з недовірою громадян в цілому до системи недержавного пенсійного забезпечення. Важливість правильного обрання вказаного моменту підтверджується, зокрема, тим, що «після 14 років існування системи недержавного пенсійного забезпечення в Україні (3-й рівень) виявилося, що це невдалий експеримент. Невдалий з погляду охоплення фізичних осіб, загальної суми накопичених активів, витрат і реальних показників діяльності</w:t>
      </w:r>
      <w:r w:rsidRPr="002A2BC0">
        <w:rPr>
          <w:sz w:val="28"/>
          <w:szCs w:val="28"/>
        </w:rPr>
        <w:t>, а також, найголовніше, результатів (майбутніх виплат). Більшість населення України не заощаджує або не має змоги заощадити на пенсію, мало або зовсім нічого не знає про недержавні пенсійні фонди, погано орієнтується у фінансових питаннях загалом та в інвестиціях зокрема, а також не довіряє фінансовим установам».</w:t>
      </w:r>
      <w:r w:rsidRPr="002A2BC0">
        <w:rPr>
          <w:sz w:val="28"/>
          <w:szCs w:val="28"/>
          <w:vertAlign w:val="superscript"/>
        </w:rPr>
        <w:footnoteReference w:id="1"/>
      </w:r>
      <w:r w:rsidRPr="002A2BC0">
        <w:rPr>
          <w:sz w:val="28"/>
          <w:szCs w:val="28"/>
        </w:rPr>
        <w:t xml:space="preserve"> </w:t>
      </w:r>
    </w:p>
    <w:p w:rsidR="007A2A9E" w:rsidRPr="002A2BC0" w:rsidRDefault="007A2A9E" w:rsidP="007A2A9E">
      <w:pPr>
        <w:tabs>
          <w:tab w:val="left" w:pos="0"/>
        </w:tabs>
        <w:ind w:firstLine="709"/>
        <w:contextualSpacing/>
        <w:jc w:val="both"/>
        <w:rPr>
          <w:rFonts w:eastAsia="Times New Roman"/>
          <w:sz w:val="28"/>
          <w:szCs w:val="28"/>
          <w:lang w:eastAsia="uk-UA"/>
        </w:rPr>
      </w:pPr>
      <w:r w:rsidRPr="002A2BC0">
        <w:rPr>
          <w:rFonts w:eastAsia="Times New Roman"/>
          <w:sz w:val="28"/>
          <w:szCs w:val="28"/>
          <w:lang w:eastAsia="en-GB"/>
        </w:rPr>
        <w:lastRenderedPageBreak/>
        <w:t xml:space="preserve">У цьому контексті необхідно взяти до уваги й приклад негативного досвіду країн Східної Європи з більш розвиненою економікою і </w:t>
      </w:r>
      <w:r w:rsidR="00762689">
        <w:rPr>
          <w:rFonts w:eastAsia="Times New Roman"/>
          <w:sz w:val="28"/>
          <w:szCs w:val="28"/>
          <w:lang w:eastAsia="en-GB"/>
        </w:rPr>
        <w:t xml:space="preserve">більш </w:t>
      </w:r>
      <w:r>
        <w:rPr>
          <w:rFonts w:eastAsia="Times New Roman"/>
          <w:sz w:val="28"/>
          <w:szCs w:val="28"/>
          <w:lang w:eastAsia="en-GB"/>
        </w:rPr>
        <w:t xml:space="preserve">досконалим </w:t>
      </w:r>
      <w:r w:rsidRPr="002A2BC0">
        <w:rPr>
          <w:rFonts w:eastAsia="Times New Roman"/>
          <w:sz w:val="28"/>
          <w:szCs w:val="28"/>
          <w:lang w:eastAsia="en-GB"/>
        </w:rPr>
        <w:t xml:space="preserve">правовим порядком, у яких законодавчими рішеннями намагаються повернути накопичені громадянами кошти у солідарну пенсійну систему, або й націоналізувати ці кошти (як, наприклад, в Угорщині).  </w:t>
      </w:r>
      <w:r w:rsidRPr="002A2BC0">
        <w:rPr>
          <w:rFonts w:eastAsia="Times New Roman"/>
          <w:sz w:val="28"/>
          <w:szCs w:val="28"/>
          <w:lang w:eastAsia="uk-UA"/>
        </w:rPr>
        <w:t xml:space="preserve">У Литві і Латвії ставку внесків у другий рівень пенсійної системи протягом декількох років знижували до 2% від зарплати, а в Естонії звели до нуля. Чехія у січні 2016 року оголосила про ліквідацію другого рівня, який був створений лише </w:t>
      </w:r>
      <w:r w:rsidR="001C4C21">
        <w:rPr>
          <w:rFonts w:eastAsia="Times New Roman"/>
          <w:sz w:val="28"/>
          <w:szCs w:val="28"/>
          <w:lang w:eastAsia="uk-UA"/>
        </w:rPr>
        <w:br/>
      </w:r>
      <w:r w:rsidRPr="002A2BC0">
        <w:rPr>
          <w:rFonts w:eastAsia="Times New Roman"/>
          <w:sz w:val="28"/>
          <w:szCs w:val="28"/>
          <w:lang w:eastAsia="uk-UA"/>
        </w:rPr>
        <w:t>у 2013 році. У Польщі у лютому 2014 року через введені державою обмеження на форми інвестування фондами страхування останні почали отримувати негативну дохідність (зокрема, було заборонено інвестувати у державні облігації, а попередні інвестиції необхідно було безоплатно повернути державі для скорочення державного боргу). Згодом польський уряд дав громадянам термін у три місяці на повернення до солідарної системи за мовчазною згодою, якщо не буде заявлено про відмову, і продовжує у подальшому таку практику</w:t>
      </w:r>
      <w:r w:rsidRPr="002A2BC0">
        <w:rPr>
          <w:sz w:val="28"/>
          <w:szCs w:val="28"/>
          <w:vertAlign w:val="superscript"/>
          <w:lang w:eastAsia="uk-UA"/>
        </w:rPr>
        <w:footnoteReference w:id="2"/>
      </w:r>
      <w:r w:rsidRPr="002A2BC0">
        <w:rPr>
          <w:rFonts w:eastAsia="Times New Roman"/>
          <w:sz w:val="28"/>
          <w:szCs w:val="28"/>
          <w:lang w:eastAsia="uk-UA"/>
        </w:rPr>
        <w:t>.</w:t>
      </w:r>
    </w:p>
    <w:p w:rsidR="007A2A9E" w:rsidRDefault="007A2A9E" w:rsidP="007A2A9E">
      <w:pPr>
        <w:ind w:firstLine="709"/>
        <w:contextualSpacing/>
        <w:jc w:val="both"/>
        <w:rPr>
          <w:rFonts w:eastAsia="Times New Roman"/>
          <w:sz w:val="28"/>
          <w:szCs w:val="28"/>
          <w:lang w:eastAsia="uk-UA"/>
        </w:rPr>
      </w:pPr>
      <w:r w:rsidRPr="002A2BC0">
        <w:rPr>
          <w:rFonts w:eastAsia="Times New Roman"/>
          <w:sz w:val="28"/>
          <w:szCs w:val="28"/>
          <w:lang w:eastAsia="uk-UA"/>
        </w:rPr>
        <w:t xml:space="preserve">На жаль, </w:t>
      </w:r>
      <w:r w:rsidR="00762689">
        <w:rPr>
          <w:rFonts w:eastAsia="Times New Roman"/>
          <w:sz w:val="28"/>
          <w:szCs w:val="28"/>
          <w:lang w:eastAsia="uk-UA"/>
        </w:rPr>
        <w:t>запровадження накопичувальної пенсійної системи</w:t>
      </w:r>
      <w:r w:rsidRPr="002A2BC0">
        <w:rPr>
          <w:rFonts w:eastAsia="Times New Roman"/>
          <w:sz w:val="28"/>
          <w:szCs w:val="28"/>
          <w:lang w:eastAsia="uk-UA"/>
        </w:rPr>
        <w:t xml:space="preserve"> </w:t>
      </w:r>
      <w:r w:rsidR="00762689">
        <w:rPr>
          <w:rFonts w:eastAsia="Times New Roman"/>
          <w:sz w:val="28"/>
          <w:szCs w:val="28"/>
          <w:lang w:eastAsia="uk-UA"/>
        </w:rPr>
        <w:t xml:space="preserve">у </w:t>
      </w:r>
      <w:r w:rsidR="00C04B4A">
        <w:rPr>
          <w:rFonts w:eastAsia="Times New Roman"/>
          <w:sz w:val="28"/>
          <w:szCs w:val="28"/>
          <w:lang w:eastAsia="uk-UA"/>
        </w:rPr>
        <w:t>цих країн не виправдало</w:t>
      </w:r>
      <w:r w:rsidRPr="002A2BC0">
        <w:rPr>
          <w:rFonts w:eastAsia="Times New Roman"/>
          <w:sz w:val="28"/>
          <w:szCs w:val="28"/>
          <w:lang w:eastAsia="uk-UA"/>
        </w:rPr>
        <w:t xml:space="preserve"> сподівань на побудову такого рівня пенсійного забезпечення громадян, який напрацьовано у</w:t>
      </w:r>
      <w:r>
        <w:rPr>
          <w:rFonts w:eastAsia="Times New Roman"/>
          <w:sz w:val="28"/>
          <w:szCs w:val="28"/>
          <w:lang w:eastAsia="uk-UA"/>
        </w:rPr>
        <w:t xml:space="preserve"> З</w:t>
      </w:r>
      <w:r w:rsidRPr="002A2BC0">
        <w:rPr>
          <w:rFonts w:eastAsia="Times New Roman"/>
          <w:sz w:val="28"/>
          <w:szCs w:val="28"/>
          <w:lang w:eastAsia="uk-UA"/>
        </w:rPr>
        <w:t>ахідній Європі, зокрема, через нижчий рівень зарплат і відповідних йому внесків, слабкий розвиток фінансових інститутів і невеликий вибір фондів для інвестування з достатньою дохідністю на пенсійні накопичення.</w:t>
      </w:r>
    </w:p>
    <w:p w:rsidR="00BF46FC" w:rsidRPr="00DF1163" w:rsidRDefault="00762689" w:rsidP="007A2A9E">
      <w:pPr>
        <w:pStyle w:val="ListParagraph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2689">
        <w:rPr>
          <w:b/>
          <w:sz w:val="28"/>
          <w:szCs w:val="28"/>
          <w:lang w:eastAsia="uk-UA"/>
        </w:rPr>
        <w:t xml:space="preserve">2. </w:t>
      </w:r>
      <w:r w:rsidRPr="00762689">
        <w:rPr>
          <w:sz w:val="28"/>
          <w:szCs w:val="28"/>
          <w:lang w:eastAsia="uk-UA"/>
        </w:rPr>
        <w:t>Вважаємо,</w:t>
      </w:r>
      <w:r>
        <w:rPr>
          <w:b/>
          <w:sz w:val="28"/>
          <w:szCs w:val="28"/>
          <w:lang w:eastAsia="uk-UA"/>
        </w:rPr>
        <w:t xml:space="preserve"> </w:t>
      </w:r>
      <w:r w:rsidRPr="00762689">
        <w:rPr>
          <w:sz w:val="28"/>
          <w:szCs w:val="28"/>
          <w:lang w:eastAsia="uk-UA"/>
        </w:rPr>
        <w:t xml:space="preserve">що </w:t>
      </w:r>
      <w:r>
        <w:rPr>
          <w:sz w:val="28"/>
          <w:szCs w:val="28"/>
          <w:lang w:eastAsia="uk-UA"/>
        </w:rPr>
        <w:t xml:space="preserve">передача Кабінету Міністрів України функцій з управління </w:t>
      </w:r>
      <w:r w:rsidRPr="00DF1163">
        <w:rPr>
          <w:sz w:val="28"/>
          <w:szCs w:val="28"/>
          <w:lang w:eastAsia="uk-UA"/>
        </w:rPr>
        <w:t xml:space="preserve">пенсійними активами Накопичувального фонду </w:t>
      </w:r>
      <w:r w:rsidR="00BF46FC" w:rsidRPr="00DF1163">
        <w:rPr>
          <w:sz w:val="28"/>
          <w:szCs w:val="28"/>
          <w:lang w:eastAsia="uk-UA"/>
        </w:rPr>
        <w:t xml:space="preserve">(нова редакція </w:t>
      </w:r>
      <w:r w:rsidR="00BA7D02" w:rsidRPr="00DF1163">
        <w:rPr>
          <w:sz w:val="28"/>
          <w:szCs w:val="28"/>
          <w:lang w:eastAsia="uk-UA"/>
        </w:rPr>
        <w:br/>
      </w:r>
      <w:r w:rsidR="00BF46FC" w:rsidRPr="00DF1163">
        <w:rPr>
          <w:sz w:val="28"/>
          <w:szCs w:val="28"/>
          <w:lang w:eastAsia="uk-UA"/>
        </w:rPr>
        <w:t xml:space="preserve">ч. 3 ст. 78 Закону) </w:t>
      </w:r>
      <w:r w:rsidRPr="00DF1163">
        <w:rPr>
          <w:sz w:val="28"/>
          <w:szCs w:val="28"/>
          <w:lang w:eastAsia="uk-UA"/>
        </w:rPr>
        <w:t xml:space="preserve">суперечить </w:t>
      </w:r>
      <w:r w:rsidR="00194C08" w:rsidRPr="00DF1163">
        <w:rPr>
          <w:sz w:val="28"/>
          <w:szCs w:val="28"/>
          <w:lang w:eastAsia="uk-UA"/>
        </w:rPr>
        <w:t xml:space="preserve">його конституційному визначенню як вищого органу </w:t>
      </w:r>
      <w:r w:rsidR="00BF46FC" w:rsidRPr="00DF1163">
        <w:rPr>
          <w:sz w:val="28"/>
          <w:szCs w:val="28"/>
          <w:lang w:eastAsia="uk-UA"/>
        </w:rPr>
        <w:t xml:space="preserve">у системі </w:t>
      </w:r>
      <w:r w:rsidR="00194C08" w:rsidRPr="00DF1163">
        <w:rPr>
          <w:sz w:val="28"/>
          <w:szCs w:val="28"/>
          <w:lang w:eastAsia="uk-UA"/>
        </w:rPr>
        <w:t>виконавчої влади (</w:t>
      </w:r>
      <w:r w:rsidRPr="00DF1163">
        <w:rPr>
          <w:sz w:val="28"/>
          <w:szCs w:val="28"/>
          <w:lang w:eastAsia="uk-UA"/>
        </w:rPr>
        <w:t>ст.</w:t>
      </w:r>
      <w:r w:rsidR="00BF46FC" w:rsidRPr="00DF1163">
        <w:rPr>
          <w:sz w:val="28"/>
          <w:szCs w:val="28"/>
          <w:lang w:eastAsia="uk-UA"/>
        </w:rPr>
        <w:t xml:space="preserve"> </w:t>
      </w:r>
      <w:r w:rsidR="00F66322" w:rsidRPr="00DF1163">
        <w:rPr>
          <w:sz w:val="28"/>
          <w:szCs w:val="28"/>
          <w:lang w:eastAsia="uk-UA"/>
        </w:rPr>
        <w:t xml:space="preserve">113 </w:t>
      </w:r>
      <w:r w:rsidR="00BF46FC" w:rsidRPr="00DF1163">
        <w:rPr>
          <w:sz w:val="28"/>
          <w:szCs w:val="28"/>
          <w:lang w:eastAsia="uk-UA"/>
        </w:rPr>
        <w:t>Конституції України). При цьому</w:t>
      </w:r>
      <w:r w:rsidR="00BA7D02" w:rsidRPr="00DF1163">
        <w:rPr>
          <w:sz w:val="28"/>
          <w:szCs w:val="28"/>
          <w:lang w:val="ru-RU" w:eastAsia="uk-UA"/>
        </w:rPr>
        <w:t>,</w:t>
      </w:r>
      <w:r w:rsidR="00BF46FC" w:rsidRPr="00DF1163">
        <w:rPr>
          <w:sz w:val="28"/>
          <w:szCs w:val="28"/>
          <w:lang w:eastAsia="uk-UA"/>
        </w:rPr>
        <w:t xml:space="preserve"> зазначимо, що згідно з наведеними у ст. 1 Закону визначеннями «</w:t>
      </w:r>
      <w:r w:rsidR="00BF46FC" w:rsidRPr="00DF1163">
        <w:rPr>
          <w:color w:val="000000"/>
          <w:sz w:val="28"/>
          <w:szCs w:val="28"/>
          <w:shd w:val="clear" w:color="auto" w:fill="FFFFFF"/>
        </w:rPr>
        <w:t>діяльністю з управління активами» є  «професійна діяльність з управління активами інституційних інвесторів, порядок провадження якої визначено законодавством про цінні папери та фондовий ринок», якою має займається «компанія з управління активами - юридична особа, яка здійснює управління активами на підставі ліцензії на провадження професійної діяльності на фондовому ринку (діяльності з управління активами інституційних інвесторів) та обирається за результатами конкурсу», а не вищий орган у системі виконавчої влади держави.</w:t>
      </w:r>
    </w:p>
    <w:p w:rsidR="00292443" w:rsidRPr="00292443" w:rsidRDefault="00BF46FC" w:rsidP="007A2A9E">
      <w:pPr>
        <w:pStyle w:val="ListParagraph1"/>
        <w:ind w:left="0" w:firstLine="709"/>
        <w:jc w:val="both"/>
        <w:rPr>
          <w:sz w:val="28"/>
          <w:szCs w:val="28"/>
          <w:lang w:eastAsia="en-US"/>
        </w:rPr>
      </w:pPr>
      <w:r w:rsidRPr="00DF1163">
        <w:rPr>
          <w:b/>
          <w:sz w:val="28"/>
          <w:szCs w:val="28"/>
          <w:lang w:eastAsia="en-US"/>
        </w:rPr>
        <w:t>3.</w:t>
      </w:r>
      <w:r w:rsidRPr="00DF1163">
        <w:rPr>
          <w:sz w:val="28"/>
          <w:szCs w:val="28"/>
          <w:lang w:eastAsia="en-US"/>
        </w:rPr>
        <w:t xml:space="preserve"> </w:t>
      </w:r>
      <w:r w:rsidR="00D87541" w:rsidRPr="00DF1163">
        <w:rPr>
          <w:sz w:val="28"/>
          <w:szCs w:val="28"/>
          <w:lang w:eastAsia="en-US"/>
        </w:rPr>
        <w:t xml:space="preserve">Слід також зазначити, що призначення Верховною Радою України членів Ради Накопичувального фонду </w:t>
      </w:r>
      <w:r w:rsidRPr="00DF1163">
        <w:rPr>
          <w:sz w:val="28"/>
          <w:szCs w:val="28"/>
          <w:lang w:eastAsia="en-US"/>
        </w:rPr>
        <w:t xml:space="preserve">(нова редакція абз. 3 ч. 2 ст. 81 Закону) </w:t>
      </w:r>
      <w:r w:rsidR="00D87541" w:rsidRPr="00DF1163">
        <w:rPr>
          <w:sz w:val="28"/>
          <w:szCs w:val="28"/>
          <w:lang w:eastAsia="en-US"/>
        </w:rPr>
        <w:t xml:space="preserve">не узгоджується з Конституцією України, </w:t>
      </w:r>
      <w:r w:rsidRPr="00DF1163">
        <w:rPr>
          <w:sz w:val="28"/>
          <w:szCs w:val="28"/>
          <w:lang w:eastAsia="en-US"/>
        </w:rPr>
        <w:t>згідно з</w:t>
      </w:r>
      <w:r w:rsidR="00BA7D02" w:rsidRPr="00DF1163">
        <w:rPr>
          <w:sz w:val="28"/>
          <w:szCs w:val="28"/>
          <w:lang w:eastAsia="en-US"/>
        </w:rPr>
        <w:t>і</w:t>
      </w:r>
      <w:r w:rsidRPr="00DF1163">
        <w:rPr>
          <w:sz w:val="28"/>
          <w:szCs w:val="28"/>
          <w:lang w:eastAsia="en-US"/>
        </w:rPr>
        <w:t xml:space="preserve"> ст. 85</w:t>
      </w:r>
      <w:r>
        <w:rPr>
          <w:sz w:val="28"/>
          <w:szCs w:val="28"/>
          <w:lang w:eastAsia="en-US"/>
        </w:rPr>
        <w:t xml:space="preserve"> якої </w:t>
      </w:r>
      <w:r w:rsidR="00292443" w:rsidRPr="00292443">
        <w:rPr>
          <w:color w:val="000000"/>
          <w:sz w:val="28"/>
          <w:szCs w:val="28"/>
          <w:shd w:val="clear" w:color="auto" w:fill="FFFFFF"/>
        </w:rPr>
        <w:t xml:space="preserve">Верховна Рада України здійснює повноваження, які </w:t>
      </w:r>
      <w:r w:rsidR="00995808" w:rsidRPr="00292443">
        <w:rPr>
          <w:color w:val="000000"/>
          <w:sz w:val="28"/>
          <w:szCs w:val="28"/>
          <w:shd w:val="clear" w:color="auto" w:fill="FFFFFF"/>
        </w:rPr>
        <w:t xml:space="preserve">відповідно до Конституції України </w:t>
      </w:r>
      <w:r w:rsidR="00292443" w:rsidRPr="00292443">
        <w:rPr>
          <w:color w:val="000000"/>
          <w:sz w:val="28"/>
          <w:szCs w:val="28"/>
          <w:shd w:val="clear" w:color="auto" w:fill="FFFFFF"/>
        </w:rPr>
        <w:t>віднесені до її відання.</w:t>
      </w:r>
    </w:p>
    <w:p w:rsidR="00D87541" w:rsidRDefault="00292443" w:rsidP="007A2A9E">
      <w:pPr>
        <w:pStyle w:val="ListParagraph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З цього приводу варто також зазначити, що </w:t>
      </w:r>
      <w:r w:rsidR="00D87541" w:rsidRPr="00DA5C4C">
        <w:rPr>
          <w:sz w:val="28"/>
          <w:szCs w:val="28"/>
          <w:lang w:eastAsia="en-US"/>
        </w:rPr>
        <w:t xml:space="preserve">одним із викликів функціонування накопичувальної пенсійної системи є саме </w:t>
      </w:r>
      <w:r w:rsidR="00D87541" w:rsidRPr="00DA5C4C">
        <w:rPr>
          <w:sz w:val="28"/>
          <w:szCs w:val="28"/>
        </w:rPr>
        <w:t>спокуса урядових структур використ</w:t>
      </w:r>
      <w:r w:rsidR="00F66322">
        <w:rPr>
          <w:sz w:val="28"/>
          <w:szCs w:val="28"/>
        </w:rPr>
        <w:t>овувати кошти</w:t>
      </w:r>
      <w:r w:rsidR="00D87541" w:rsidRPr="00DA5C4C">
        <w:rPr>
          <w:sz w:val="28"/>
          <w:szCs w:val="28"/>
        </w:rPr>
        <w:t xml:space="preserve"> обов’язкових накопичувальних пенсійних систем (Рівня ІІ) для погашення дефіциту державного бюджету чи дефіциту </w:t>
      </w:r>
      <w:r w:rsidR="00D87541" w:rsidRPr="00DA5C4C">
        <w:rPr>
          <w:sz w:val="28"/>
          <w:szCs w:val="28"/>
        </w:rPr>
        <w:lastRenderedPageBreak/>
        <w:t>коштів на Рівні І</w:t>
      </w:r>
      <w:r w:rsidR="00995808">
        <w:rPr>
          <w:sz w:val="28"/>
          <w:szCs w:val="28"/>
        </w:rPr>
        <w:t xml:space="preserve"> (солідарна система </w:t>
      </w:r>
      <w:r w:rsidR="00995808" w:rsidRPr="00995808">
        <w:rPr>
          <w:sz w:val="28"/>
          <w:szCs w:val="28"/>
        </w:rPr>
        <w:t>з</w:t>
      </w:r>
      <w:r w:rsidR="00995808" w:rsidRPr="00995808">
        <w:rPr>
          <w:color w:val="000000"/>
          <w:sz w:val="28"/>
          <w:szCs w:val="28"/>
          <w:shd w:val="clear" w:color="auto" w:fill="FFFFFF"/>
        </w:rPr>
        <w:t>агальнообов'язкового державного пенсійного страхування</w:t>
      </w:r>
      <w:r w:rsidR="00995808">
        <w:rPr>
          <w:sz w:val="28"/>
          <w:szCs w:val="28"/>
        </w:rPr>
        <w:t xml:space="preserve"> )</w:t>
      </w:r>
      <w:r w:rsidR="00D87541" w:rsidRPr="00DA5C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або ж на інші цілі, </w:t>
      </w:r>
      <w:r w:rsidR="00D87541" w:rsidRPr="00DA5C4C">
        <w:rPr>
          <w:sz w:val="28"/>
          <w:szCs w:val="28"/>
        </w:rPr>
        <w:t xml:space="preserve">що може негативно позначитися на ефективності пенсійної системи. </w:t>
      </w:r>
    </w:p>
    <w:p w:rsidR="00292443" w:rsidRPr="00292443" w:rsidRDefault="00292443" w:rsidP="007A2A9E">
      <w:pPr>
        <w:pStyle w:val="ListParagraph1"/>
        <w:ind w:left="0" w:firstLine="709"/>
        <w:jc w:val="both"/>
        <w:rPr>
          <w:sz w:val="28"/>
          <w:szCs w:val="28"/>
        </w:rPr>
      </w:pPr>
      <w:r w:rsidRPr="00997C8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663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7541" w:rsidRPr="00DA5C4C">
        <w:rPr>
          <w:sz w:val="28"/>
          <w:szCs w:val="28"/>
        </w:rPr>
        <w:t xml:space="preserve">абз. 1 </w:t>
      </w:r>
      <w:r>
        <w:rPr>
          <w:sz w:val="28"/>
          <w:szCs w:val="28"/>
        </w:rPr>
        <w:t xml:space="preserve">нової редакції </w:t>
      </w:r>
      <w:r w:rsidR="00D87541" w:rsidRPr="00DA5C4C">
        <w:rPr>
          <w:sz w:val="28"/>
          <w:szCs w:val="28"/>
        </w:rPr>
        <w:t xml:space="preserve">п. 9 </w:t>
      </w:r>
      <w:r w:rsidR="00D87541" w:rsidRPr="00DA5C4C">
        <w:rPr>
          <w:sz w:val="28"/>
          <w:szCs w:val="28"/>
          <w:lang w:eastAsia="en-US"/>
        </w:rPr>
        <w:t>розділу </w:t>
      </w:r>
      <w:r w:rsidR="00D87541" w:rsidRPr="00DA5C4C">
        <w:rPr>
          <w:sz w:val="28"/>
          <w:szCs w:val="28"/>
          <w:lang w:val="en-US" w:eastAsia="en-US"/>
        </w:rPr>
        <w:t>IV</w:t>
      </w:r>
      <w:r w:rsidR="00D87541" w:rsidRPr="00DA5C4C">
        <w:rPr>
          <w:sz w:val="28"/>
          <w:szCs w:val="28"/>
          <w:lang w:eastAsia="en-US"/>
        </w:rPr>
        <w:t xml:space="preserve"> </w:t>
      </w:r>
      <w:r w:rsidR="00D87541" w:rsidRPr="00DA5C4C">
        <w:rPr>
          <w:sz w:val="28"/>
          <w:szCs w:val="28"/>
          <w:lang w:val="ru-RU" w:eastAsia="en-US"/>
        </w:rPr>
        <w:t>«</w:t>
      </w:r>
      <w:r w:rsidR="00D87541" w:rsidRPr="00DA5C4C">
        <w:rPr>
          <w:sz w:val="28"/>
          <w:szCs w:val="28"/>
          <w:lang w:eastAsia="en-US"/>
        </w:rPr>
        <w:t>Прикінцеві положення</w:t>
      </w:r>
      <w:r w:rsidR="00D87541" w:rsidRPr="00DA5C4C">
        <w:rPr>
          <w:sz w:val="28"/>
          <w:szCs w:val="28"/>
          <w:lang w:val="ru-RU" w:eastAsia="en-US"/>
        </w:rPr>
        <w:t>»</w:t>
      </w:r>
      <w:r w:rsidR="00D87541" w:rsidRPr="00DA5C4C">
        <w:rPr>
          <w:sz w:val="28"/>
          <w:szCs w:val="28"/>
        </w:rPr>
        <w:t xml:space="preserve"> Закону </w:t>
      </w:r>
      <w:r>
        <w:rPr>
          <w:sz w:val="28"/>
          <w:szCs w:val="28"/>
        </w:rPr>
        <w:t xml:space="preserve">визначається, що </w:t>
      </w:r>
      <w:r w:rsidR="00D87541" w:rsidRPr="00DA5C4C">
        <w:rPr>
          <w:sz w:val="28"/>
          <w:szCs w:val="28"/>
        </w:rPr>
        <w:t xml:space="preserve">протягом 10 років з дня запровадження накопичувальної системи державного пенсійного страхування внесків до Накопичувального фонду застрахованими особами виключно на добровільних засадах. </w:t>
      </w:r>
      <w:r>
        <w:rPr>
          <w:sz w:val="28"/>
          <w:szCs w:val="28"/>
        </w:rPr>
        <w:t>Проте слід звернути увагу, що у цьому випадку Накопичувальний фонд буде фактично виконувати функції недержавного пенсійного фонду,</w:t>
      </w:r>
      <w:r w:rsidR="00995808">
        <w:rPr>
          <w:sz w:val="28"/>
          <w:szCs w:val="28"/>
        </w:rPr>
        <w:t xml:space="preserve"> що</w:t>
      </w:r>
      <w:r>
        <w:rPr>
          <w:sz w:val="28"/>
          <w:szCs w:val="28"/>
        </w:rPr>
        <w:t xml:space="preserve"> працюють на третьому рівні системи пенсійного забезпечення України, якою є «</w:t>
      </w:r>
      <w:r w:rsidRPr="00292443">
        <w:rPr>
          <w:color w:val="000000"/>
          <w:sz w:val="28"/>
          <w:szCs w:val="28"/>
          <w:shd w:val="clear" w:color="auto" w:fill="FFFFFF"/>
        </w:rPr>
        <w:t>система недержавного пенсійного забезпечення, що базується на засадах добровільної участі громадян, роботодавців та їх об'єднань у формуванні пенсійних накопичень з метою отримання громадянами пенсійних виплат на умовах та в порядку, передбачених законодавством про недержавне пенсійне забезпечення</w:t>
      </w:r>
      <w:r w:rsidR="00F66322">
        <w:rPr>
          <w:color w:val="000000"/>
          <w:sz w:val="28"/>
          <w:szCs w:val="28"/>
          <w:shd w:val="clear" w:color="auto" w:fill="FFFFFF"/>
        </w:rPr>
        <w:t>» (ст. 2 Закону)</w:t>
      </w:r>
      <w:r w:rsidRPr="0029244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Зазначимо, що участь Накопичувального фонду у недержавному пенсійному забезпеченні не узгоджується з його визначенням у ст. 1 Закону як цільового позабюджетного</w:t>
      </w:r>
      <w:r w:rsidRPr="00292443">
        <w:rPr>
          <w:color w:val="000000"/>
          <w:sz w:val="28"/>
          <w:szCs w:val="28"/>
          <w:shd w:val="clear" w:color="auto" w:fill="FFFFFF"/>
        </w:rPr>
        <w:t xml:space="preserve"> фонд</w:t>
      </w:r>
      <w:r>
        <w:rPr>
          <w:color w:val="000000"/>
          <w:sz w:val="28"/>
          <w:szCs w:val="28"/>
          <w:shd w:val="clear" w:color="auto" w:fill="FFFFFF"/>
        </w:rPr>
        <w:t xml:space="preserve">у. </w:t>
      </w:r>
    </w:p>
    <w:p w:rsidR="00D87541" w:rsidRDefault="00C04B4A" w:rsidP="007A2A9E">
      <w:pPr>
        <w:pStyle w:val="ListParagraph1"/>
        <w:ind w:left="0" w:firstLine="709"/>
        <w:jc w:val="both"/>
        <w:rPr>
          <w:sz w:val="28"/>
          <w:szCs w:val="28"/>
        </w:rPr>
      </w:pPr>
      <w:r w:rsidRPr="00997C81">
        <w:rPr>
          <w:b/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</w:t>
      </w:r>
      <w:r w:rsidR="00D87541" w:rsidRPr="00DA5C4C">
        <w:rPr>
          <w:sz w:val="28"/>
          <w:szCs w:val="28"/>
          <w:lang w:eastAsia="en-US"/>
        </w:rPr>
        <w:t xml:space="preserve">Вимагають більш конкретного змістовного та редакційного визначення запропоновані </w:t>
      </w:r>
      <w:r>
        <w:rPr>
          <w:sz w:val="28"/>
          <w:szCs w:val="28"/>
          <w:lang w:eastAsia="en-US"/>
        </w:rPr>
        <w:t xml:space="preserve">положення </w:t>
      </w:r>
      <w:r w:rsidR="00D87541" w:rsidRPr="00DA5C4C">
        <w:rPr>
          <w:sz w:val="28"/>
          <w:szCs w:val="28"/>
          <w:lang w:eastAsia="en-US"/>
        </w:rPr>
        <w:t>абз. </w:t>
      </w:r>
      <w:r w:rsidR="00F66322">
        <w:rPr>
          <w:sz w:val="28"/>
          <w:szCs w:val="28"/>
          <w:lang w:eastAsia="en-US"/>
        </w:rPr>
        <w:t>2</w:t>
      </w:r>
      <w:r w:rsidR="00D87541">
        <w:rPr>
          <w:sz w:val="28"/>
          <w:szCs w:val="28"/>
          <w:lang w:val="ru-RU" w:eastAsia="en-US"/>
        </w:rPr>
        <w:t>,</w:t>
      </w:r>
      <w:r w:rsidR="00D87541" w:rsidRPr="00DA5C4C">
        <w:rPr>
          <w:sz w:val="28"/>
          <w:szCs w:val="28"/>
          <w:lang w:eastAsia="en-US"/>
        </w:rPr>
        <w:t xml:space="preserve"> 4 </w:t>
      </w:r>
      <w:r>
        <w:rPr>
          <w:sz w:val="28"/>
          <w:szCs w:val="28"/>
          <w:lang w:eastAsia="en-US"/>
        </w:rPr>
        <w:t xml:space="preserve">нової редакції </w:t>
      </w:r>
      <w:r w:rsidR="00D87541" w:rsidRPr="00DA5C4C">
        <w:rPr>
          <w:sz w:val="28"/>
          <w:szCs w:val="28"/>
          <w:lang w:eastAsia="en-US"/>
        </w:rPr>
        <w:t>п. 9 розділу </w:t>
      </w:r>
      <w:r w:rsidR="00D87541" w:rsidRPr="00DA5C4C">
        <w:rPr>
          <w:sz w:val="28"/>
          <w:szCs w:val="28"/>
          <w:lang w:val="en-US" w:eastAsia="en-US"/>
        </w:rPr>
        <w:t>IV</w:t>
      </w:r>
      <w:r w:rsidR="00D87541" w:rsidRPr="00DA5C4C">
        <w:rPr>
          <w:sz w:val="28"/>
          <w:szCs w:val="28"/>
          <w:lang w:eastAsia="en-US"/>
        </w:rPr>
        <w:t xml:space="preserve"> </w:t>
      </w:r>
      <w:r w:rsidR="00D87541" w:rsidRPr="00DA5C4C">
        <w:rPr>
          <w:sz w:val="28"/>
          <w:szCs w:val="28"/>
          <w:lang w:val="ru-RU" w:eastAsia="en-US"/>
        </w:rPr>
        <w:t>«</w:t>
      </w:r>
      <w:r w:rsidR="00D87541" w:rsidRPr="00DA5C4C">
        <w:rPr>
          <w:sz w:val="28"/>
          <w:szCs w:val="28"/>
          <w:lang w:eastAsia="en-US"/>
        </w:rPr>
        <w:t>Прикінцеві положення</w:t>
      </w:r>
      <w:r w:rsidR="00D87541" w:rsidRPr="00DA5C4C">
        <w:rPr>
          <w:sz w:val="28"/>
          <w:szCs w:val="28"/>
          <w:lang w:val="ru-RU" w:eastAsia="en-US"/>
        </w:rPr>
        <w:t>»</w:t>
      </w:r>
      <w:r w:rsidR="00D87541" w:rsidRPr="00DA5C4C">
        <w:rPr>
          <w:sz w:val="28"/>
          <w:szCs w:val="28"/>
        </w:rPr>
        <w:t xml:space="preserve"> Закону </w:t>
      </w:r>
      <w:r w:rsidR="00995808">
        <w:rPr>
          <w:sz w:val="28"/>
          <w:szCs w:val="28"/>
        </w:rPr>
        <w:t xml:space="preserve">щодо </w:t>
      </w:r>
      <w:r w:rsidR="00D87541" w:rsidRPr="00DA5C4C">
        <w:rPr>
          <w:sz w:val="28"/>
          <w:szCs w:val="28"/>
        </w:rPr>
        <w:t xml:space="preserve">обмеження права осіб, </w:t>
      </w:r>
      <w:r w:rsidR="00D87541" w:rsidRPr="00DA5C4C">
        <w:rPr>
          <w:bCs/>
          <w:kern w:val="1"/>
          <w:sz w:val="28"/>
          <w:szCs w:val="28"/>
        </w:rPr>
        <w:t>які стали учасниками накопичувальної системи державного пенсійного страхування</w:t>
      </w:r>
      <w:r w:rsidR="00995808">
        <w:rPr>
          <w:bCs/>
          <w:kern w:val="1"/>
          <w:sz w:val="28"/>
          <w:szCs w:val="28"/>
        </w:rPr>
        <w:t>,</w:t>
      </w:r>
      <w:r w:rsidR="00D87541" w:rsidRPr="00DA5C4C">
        <w:rPr>
          <w:bCs/>
          <w:kern w:val="1"/>
          <w:sz w:val="28"/>
          <w:szCs w:val="28"/>
        </w:rPr>
        <w:t xml:space="preserve"> на перехід  до сплати внесків до солідарної системи загальнообов’язкового державного пенсійного страхування, а також </w:t>
      </w:r>
      <w:r w:rsidR="00995808">
        <w:rPr>
          <w:bCs/>
          <w:kern w:val="1"/>
          <w:sz w:val="28"/>
          <w:szCs w:val="28"/>
        </w:rPr>
        <w:t>щодо</w:t>
      </w:r>
      <w:r w:rsidR="00D87541" w:rsidRPr="00DA5C4C">
        <w:rPr>
          <w:bCs/>
          <w:kern w:val="1"/>
          <w:sz w:val="28"/>
          <w:szCs w:val="28"/>
        </w:rPr>
        <w:t xml:space="preserve"> застрахованих осіб, які не сплачуючи страхові внески до Накопичувального фонду</w:t>
      </w:r>
      <w:r w:rsidR="00F66322">
        <w:rPr>
          <w:bCs/>
          <w:kern w:val="1"/>
          <w:sz w:val="28"/>
          <w:szCs w:val="28"/>
        </w:rPr>
        <w:t>,</w:t>
      </w:r>
      <w:r w:rsidR="00D87541" w:rsidRPr="00DA5C4C">
        <w:rPr>
          <w:bCs/>
          <w:kern w:val="1"/>
          <w:sz w:val="28"/>
          <w:szCs w:val="28"/>
        </w:rPr>
        <w:t xml:space="preserve"> повинні будуть їх сплачувати до солідарної системи. На нашу думку, реалізація запропонованої редакції </w:t>
      </w:r>
      <w:r w:rsidR="00995808">
        <w:rPr>
          <w:bCs/>
          <w:kern w:val="1"/>
          <w:sz w:val="28"/>
          <w:szCs w:val="28"/>
        </w:rPr>
        <w:t>вказаних положень може призвести</w:t>
      </w:r>
      <w:r w:rsidR="00D87541" w:rsidRPr="00DA5C4C">
        <w:rPr>
          <w:bCs/>
          <w:kern w:val="1"/>
          <w:sz w:val="28"/>
          <w:szCs w:val="28"/>
        </w:rPr>
        <w:t xml:space="preserve"> </w:t>
      </w:r>
      <w:r w:rsidR="00995808" w:rsidRPr="00DA5C4C">
        <w:rPr>
          <w:bCs/>
          <w:kern w:val="1"/>
          <w:sz w:val="28"/>
          <w:szCs w:val="28"/>
        </w:rPr>
        <w:t xml:space="preserve">до порушення принципів загальнообов’язкового державного пенсійного страхування щодо </w:t>
      </w:r>
      <w:r w:rsidR="00995808" w:rsidRPr="00DA5C4C">
        <w:rPr>
          <w:sz w:val="28"/>
          <w:szCs w:val="28"/>
        </w:rPr>
        <w:t>рівноправності застрахованих осіб щодо отримання пенсійних виплат та виконання обов'язків стосовно сплати страхових внесків на загальнообов'язков</w:t>
      </w:r>
      <w:r w:rsidR="00995808">
        <w:rPr>
          <w:sz w:val="28"/>
          <w:szCs w:val="28"/>
        </w:rPr>
        <w:t xml:space="preserve">е державне пенсійне страхування (ст. 7 Закону), а, отже, і  </w:t>
      </w:r>
      <w:r w:rsidR="00D87541" w:rsidRPr="00DA5C4C">
        <w:rPr>
          <w:bCs/>
          <w:kern w:val="1"/>
          <w:sz w:val="28"/>
          <w:szCs w:val="28"/>
        </w:rPr>
        <w:t>до порушення прав громадян</w:t>
      </w:r>
      <w:r w:rsidR="00995808">
        <w:rPr>
          <w:bCs/>
          <w:kern w:val="1"/>
          <w:sz w:val="28"/>
          <w:szCs w:val="28"/>
        </w:rPr>
        <w:t xml:space="preserve"> на пенсійне забезпечення.</w:t>
      </w:r>
      <w:r w:rsidR="00D87541" w:rsidRPr="00DA5C4C">
        <w:rPr>
          <w:bCs/>
          <w:kern w:val="1"/>
          <w:sz w:val="28"/>
          <w:szCs w:val="28"/>
        </w:rPr>
        <w:t xml:space="preserve"> </w:t>
      </w:r>
    </w:p>
    <w:p w:rsidR="00C04B4A" w:rsidRDefault="00C04B4A" w:rsidP="007C5571">
      <w:pPr>
        <w:ind w:firstLine="709"/>
        <w:jc w:val="both"/>
        <w:rPr>
          <w:sz w:val="28"/>
          <w:szCs w:val="28"/>
          <w:lang w:eastAsia="en-GB"/>
        </w:rPr>
      </w:pPr>
    </w:p>
    <w:p w:rsidR="00C04B4A" w:rsidRDefault="00C04B4A" w:rsidP="007C5571">
      <w:pPr>
        <w:ind w:firstLine="709"/>
        <w:jc w:val="both"/>
        <w:rPr>
          <w:sz w:val="28"/>
          <w:szCs w:val="28"/>
          <w:lang w:eastAsia="en-GB"/>
        </w:rPr>
      </w:pPr>
    </w:p>
    <w:p w:rsidR="00D87541" w:rsidRPr="00AF0886" w:rsidRDefault="00D87541" w:rsidP="007C5571">
      <w:pPr>
        <w:ind w:firstLine="709"/>
        <w:jc w:val="both"/>
        <w:rPr>
          <w:sz w:val="28"/>
          <w:szCs w:val="28"/>
          <w:lang w:eastAsia="en-GB"/>
        </w:rPr>
      </w:pPr>
      <w:r w:rsidRPr="00AF0886">
        <w:rPr>
          <w:sz w:val="28"/>
          <w:szCs w:val="28"/>
          <w:lang w:eastAsia="en-GB"/>
        </w:rPr>
        <w:t xml:space="preserve">Керівник Головного управління  </w:t>
      </w:r>
      <w:r>
        <w:rPr>
          <w:sz w:val="28"/>
          <w:szCs w:val="28"/>
          <w:lang w:eastAsia="en-GB"/>
        </w:rPr>
        <w:t xml:space="preserve">              </w:t>
      </w:r>
      <w:r w:rsidRPr="00AF0886">
        <w:rPr>
          <w:sz w:val="28"/>
          <w:szCs w:val="28"/>
          <w:lang w:eastAsia="en-GB"/>
        </w:rPr>
        <w:t xml:space="preserve">               </w:t>
      </w:r>
      <w:r>
        <w:rPr>
          <w:sz w:val="28"/>
          <w:szCs w:val="28"/>
          <w:lang w:eastAsia="en-GB"/>
        </w:rPr>
        <w:t xml:space="preserve">              </w:t>
      </w:r>
      <w:r w:rsidRPr="00AF0886">
        <w:rPr>
          <w:sz w:val="28"/>
          <w:szCs w:val="28"/>
          <w:lang w:eastAsia="en-GB"/>
        </w:rPr>
        <w:t xml:space="preserve"> С. Тихонюк</w:t>
      </w:r>
    </w:p>
    <w:p w:rsidR="00D87541" w:rsidRPr="00AF0886" w:rsidRDefault="00D87541" w:rsidP="007C5571">
      <w:pPr>
        <w:jc w:val="both"/>
        <w:rPr>
          <w:sz w:val="28"/>
          <w:szCs w:val="28"/>
        </w:rPr>
      </w:pPr>
    </w:p>
    <w:p w:rsidR="00D87541" w:rsidRPr="008C564A" w:rsidRDefault="00D87541" w:rsidP="007C5571">
      <w:pPr>
        <w:jc w:val="both"/>
        <w:rPr>
          <w:sz w:val="24"/>
          <w:szCs w:val="24"/>
        </w:rPr>
      </w:pPr>
    </w:p>
    <w:p w:rsidR="00D87541" w:rsidRPr="003225A2" w:rsidRDefault="00C04B4A" w:rsidP="007C5571">
      <w:pPr>
        <w:tabs>
          <w:tab w:val="left" w:pos="6946"/>
        </w:tabs>
        <w:jc w:val="both"/>
      </w:pPr>
      <w:r>
        <w:t xml:space="preserve">              </w:t>
      </w:r>
      <w:r w:rsidR="00D87541" w:rsidRPr="003225A2">
        <w:t>Вик.:</w:t>
      </w:r>
      <w:r w:rsidR="00D87541" w:rsidRPr="00D17B03">
        <w:t xml:space="preserve"> </w:t>
      </w:r>
      <w:r w:rsidR="00D87541" w:rsidRPr="003225A2">
        <w:t>Н.</w:t>
      </w:r>
      <w:r>
        <w:t xml:space="preserve"> </w:t>
      </w:r>
      <w:r w:rsidR="00D87541" w:rsidRPr="003225A2">
        <w:t>Лаврухіна</w:t>
      </w:r>
      <w:r w:rsidR="00D87541">
        <w:t xml:space="preserve">,  </w:t>
      </w:r>
      <w:r w:rsidR="00D87541" w:rsidRPr="00D17B03">
        <w:t>Е.</w:t>
      </w:r>
      <w:r w:rsidR="00D87541">
        <w:t>Вальковський</w:t>
      </w:r>
    </w:p>
    <w:sectPr w:rsidR="00D87541" w:rsidRPr="003225A2" w:rsidSect="00F8609C">
      <w:headerReference w:type="default" r:id="rId8"/>
      <w:headerReference w:type="firs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BC" w:rsidRDefault="006206BC" w:rsidP="00FB6C42">
      <w:r>
        <w:separator/>
      </w:r>
    </w:p>
  </w:endnote>
  <w:endnote w:type="continuationSeparator" w:id="0">
    <w:p w:rsidR="006206BC" w:rsidRDefault="006206BC" w:rsidP="00F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BC" w:rsidRDefault="006206BC" w:rsidP="00FB6C42">
      <w:r>
        <w:separator/>
      </w:r>
    </w:p>
  </w:footnote>
  <w:footnote w:type="continuationSeparator" w:id="0">
    <w:p w:rsidR="006206BC" w:rsidRDefault="006206BC" w:rsidP="00FB6C42">
      <w:r>
        <w:continuationSeparator/>
      </w:r>
    </w:p>
  </w:footnote>
  <w:footnote w:id="1">
    <w:p w:rsidR="007A2A9E" w:rsidRPr="00E64BC1" w:rsidRDefault="007A2A9E" w:rsidP="00DF1163">
      <w:pPr>
        <w:pStyle w:val="a8"/>
        <w:jc w:val="both"/>
        <w:rPr>
          <w:rFonts w:ascii="Times New Roman" w:hAnsi="Times New Roman"/>
          <w:color w:val="000000" w:themeColor="text1"/>
        </w:rPr>
      </w:pPr>
      <w:r w:rsidRPr="00F66322">
        <w:rPr>
          <w:rStyle w:val="aa"/>
          <w:rFonts w:ascii="Times New Roman" w:hAnsi="Times New Roman"/>
        </w:rPr>
        <w:footnoteRef/>
      </w:r>
      <w:r w:rsidRPr="00F66322">
        <w:rPr>
          <w:rFonts w:ascii="Times New Roman" w:hAnsi="Times New Roman"/>
        </w:rPr>
        <w:t xml:space="preserve"> </w:t>
      </w:r>
      <w:r w:rsidR="00F66322">
        <w:rPr>
          <w:rFonts w:ascii="Times New Roman" w:hAnsi="Times New Roman"/>
        </w:rPr>
        <w:t xml:space="preserve">- </w:t>
      </w:r>
      <w:r w:rsidRPr="00F66322">
        <w:rPr>
          <w:rFonts w:ascii="Times New Roman" w:hAnsi="Times New Roman"/>
        </w:rPr>
        <w:t xml:space="preserve">Звіт Агентства США </w:t>
      </w:r>
      <w:r w:rsidR="00BA7D02">
        <w:rPr>
          <w:rFonts w:ascii="Times New Roman" w:hAnsi="Times New Roman"/>
        </w:rPr>
        <w:t>з міжнародного розвитку (USAID</w:t>
      </w:r>
      <w:r w:rsidR="00BA7D02" w:rsidRPr="00DF1163">
        <w:rPr>
          <w:rFonts w:ascii="Times New Roman" w:hAnsi="Times New Roman"/>
        </w:rPr>
        <w:t xml:space="preserve">), </w:t>
      </w:r>
      <w:r w:rsidR="00BA7D02" w:rsidRPr="00DF1163">
        <w:rPr>
          <w:rFonts w:ascii="Times New Roman" w:hAnsi="Times New Roman"/>
          <w:lang w:val="en-US"/>
        </w:rPr>
        <w:t>URL</w:t>
      </w:r>
      <w:r w:rsidR="00BA7D02" w:rsidRPr="00DF1163">
        <w:rPr>
          <w:rFonts w:ascii="Times New Roman" w:hAnsi="Times New Roman"/>
          <w:lang w:val="ru-RU"/>
        </w:rPr>
        <w:t>:</w:t>
      </w:r>
      <w:r w:rsidRPr="00DF1163">
        <w:rPr>
          <w:rFonts w:ascii="Times New Roman" w:hAnsi="Times New Roman"/>
        </w:rPr>
        <w:t xml:space="preserve"> </w:t>
      </w:r>
      <w:hyperlink r:id="rId1" w:history="1">
        <w:r w:rsidRPr="00E64BC1">
          <w:rPr>
            <w:rStyle w:val="ae"/>
            <w:rFonts w:ascii="Times New Roman" w:hAnsi="Times New Roman"/>
            <w:color w:val="000000" w:themeColor="text1"/>
            <w:u w:val="none"/>
          </w:rPr>
          <w:t>http://www.fst-ua.info/wp-content/uploads/2019/07/Voluntary_Private_Pensions_in_Ukraine-Assessment_jul2019_ua.pdf</w:t>
        </w:r>
      </w:hyperlink>
    </w:p>
  </w:footnote>
  <w:footnote w:id="2">
    <w:p w:rsidR="00DF1163" w:rsidRPr="00DF1163" w:rsidRDefault="007A2A9E" w:rsidP="00DF1163">
      <w:pPr>
        <w:spacing w:line="240" w:lineRule="atLeast"/>
        <w:ind w:firstLine="708"/>
        <w:jc w:val="both"/>
      </w:pPr>
      <w:r w:rsidRPr="00DF1163">
        <w:rPr>
          <w:rStyle w:val="aa"/>
          <w:rFonts w:eastAsia="Times New Roman"/>
        </w:rPr>
        <w:footnoteRef/>
      </w:r>
      <w:r w:rsidRPr="00DF1163">
        <w:t xml:space="preserve"> </w:t>
      </w:r>
      <w:r w:rsidR="00F66322" w:rsidRPr="00DF1163">
        <w:t xml:space="preserve">- </w:t>
      </w:r>
      <w:r w:rsidR="00BA7D02" w:rsidRPr="00DF1163">
        <w:rPr>
          <w:lang w:val="en-US"/>
        </w:rPr>
        <w:t xml:space="preserve">URL: </w:t>
      </w:r>
      <w:hyperlink r:id="rId2" w:history="1">
        <w:r w:rsidRPr="00DF1163">
          <w:rPr>
            <w:lang w:eastAsia="uk-UA"/>
          </w:rPr>
          <w:t>http://carnegie.ru/commentary/2016/08/08/ru-64261/j3hc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1" w:rsidRDefault="00760188">
    <w:pPr>
      <w:pStyle w:val="a4"/>
      <w:jc w:val="right"/>
    </w:pPr>
    <w:r>
      <w:fldChar w:fldCharType="begin"/>
    </w:r>
    <w:r w:rsidR="00C52F14">
      <w:instrText>PAGE   \* MERGEFORMAT</w:instrText>
    </w:r>
    <w:r>
      <w:fldChar w:fldCharType="separate"/>
    </w:r>
    <w:r w:rsidR="00CA4A17" w:rsidRPr="00CA4A17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D87541" w:rsidRDefault="00D875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1" w:rsidRPr="00682255" w:rsidRDefault="00D87541" w:rsidP="00FB6C42">
    <w:pPr>
      <w:jc w:val="right"/>
      <w:rPr>
        <w:shd w:val="clear" w:color="auto" w:fill="FFFFFF"/>
      </w:rPr>
    </w:pPr>
    <w:r w:rsidRPr="00682255">
      <w:t xml:space="preserve">До </w:t>
    </w:r>
    <w:r>
      <w:t xml:space="preserve">реєстр. </w:t>
    </w:r>
    <w:r w:rsidRPr="00682255">
      <w:t xml:space="preserve">№ </w:t>
    </w:r>
    <w:r w:rsidRPr="00682255">
      <w:rPr>
        <w:shd w:val="clear" w:color="auto" w:fill="FFFFFF"/>
      </w:rPr>
      <w:t>2683-1 від 16.01.2020</w:t>
    </w:r>
  </w:p>
  <w:p w:rsidR="00D87541" w:rsidRPr="00682255" w:rsidRDefault="00D87541" w:rsidP="00FB6C42">
    <w:pPr>
      <w:jc w:val="right"/>
    </w:pPr>
    <w:r w:rsidRPr="00682255">
      <w:rPr>
        <w:shd w:val="clear" w:color="auto" w:fill="FFFFFF"/>
      </w:rPr>
      <w:t>Народні депутати України</w:t>
    </w:r>
  </w:p>
  <w:p w:rsidR="00D87541" w:rsidRPr="00682255" w:rsidRDefault="00D87541" w:rsidP="00FB6C42">
    <w:pPr>
      <w:jc w:val="right"/>
    </w:pPr>
    <w:r w:rsidRPr="00682255">
      <w:rPr>
        <w:bCs/>
      </w:rPr>
      <w:t>Н. Королевська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8E1"/>
    <w:multiLevelType w:val="hybridMultilevel"/>
    <w:tmpl w:val="1D20D178"/>
    <w:lvl w:ilvl="0" w:tplc="8B92E4D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2C27FEA"/>
    <w:multiLevelType w:val="hybridMultilevel"/>
    <w:tmpl w:val="20EA2E4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ED"/>
    <w:rsid w:val="00002656"/>
    <w:rsid w:val="000158F2"/>
    <w:rsid w:val="00015D9D"/>
    <w:rsid w:val="0003228E"/>
    <w:rsid w:val="00034FC1"/>
    <w:rsid w:val="00040E64"/>
    <w:rsid w:val="00041A29"/>
    <w:rsid w:val="00045614"/>
    <w:rsid w:val="00052DD3"/>
    <w:rsid w:val="0005485F"/>
    <w:rsid w:val="00063794"/>
    <w:rsid w:val="000665D8"/>
    <w:rsid w:val="000936F9"/>
    <w:rsid w:val="000B39E9"/>
    <w:rsid w:val="000C0CD1"/>
    <w:rsid w:val="000C17AF"/>
    <w:rsid w:val="00115DF3"/>
    <w:rsid w:val="00132C1F"/>
    <w:rsid w:val="0013301E"/>
    <w:rsid w:val="00134B16"/>
    <w:rsid w:val="00135ACA"/>
    <w:rsid w:val="001401E9"/>
    <w:rsid w:val="00142A89"/>
    <w:rsid w:val="00183A3D"/>
    <w:rsid w:val="001916AB"/>
    <w:rsid w:val="00194C08"/>
    <w:rsid w:val="001A16F4"/>
    <w:rsid w:val="001C0938"/>
    <w:rsid w:val="001C2FF6"/>
    <w:rsid w:val="001C4C21"/>
    <w:rsid w:val="001C7034"/>
    <w:rsid w:val="001D27BA"/>
    <w:rsid w:val="001D2DD2"/>
    <w:rsid w:val="001F13FF"/>
    <w:rsid w:val="001F1AE8"/>
    <w:rsid w:val="00213628"/>
    <w:rsid w:val="00222464"/>
    <w:rsid w:val="00256276"/>
    <w:rsid w:val="00276EFB"/>
    <w:rsid w:val="002863C4"/>
    <w:rsid w:val="00292443"/>
    <w:rsid w:val="002A0E77"/>
    <w:rsid w:val="002A337A"/>
    <w:rsid w:val="002A3C64"/>
    <w:rsid w:val="002A505D"/>
    <w:rsid w:val="002F056F"/>
    <w:rsid w:val="002F2AA2"/>
    <w:rsid w:val="003225A2"/>
    <w:rsid w:val="00322C3F"/>
    <w:rsid w:val="00327921"/>
    <w:rsid w:val="003448B6"/>
    <w:rsid w:val="003564F0"/>
    <w:rsid w:val="003653A7"/>
    <w:rsid w:val="003740C3"/>
    <w:rsid w:val="0037508A"/>
    <w:rsid w:val="003803E0"/>
    <w:rsid w:val="00386FCF"/>
    <w:rsid w:val="003A192E"/>
    <w:rsid w:val="003B0F3F"/>
    <w:rsid w:val="003D51BA"/>
    <w:rsid w:val="003F7D04"/>
    <w:rsid w:val="00411F2C"/>
    <w:rsid w:val="00437744"/>
    <w:rsid w:val="00462F18"/>
    <w:rsid w:val="00462F61"/>
    <w:rsid w:val="004662CD"/>
    <w:rsid w:val="00473063"/>
    <w:rsid w:val="00483819"/>
    <w:rsid w:val="004E1DD3"/>
    <w:rsid w:val="004E66D9"/>
    <w:rsid w:val="005064A6"/>
    <w:rsid w:val="005210ED"/>
    <w:rsid w:val="00543852"/>
    <w:rsid w:val="00560C1D"/>
    <w:rsid w:val="005679D9"/>
    <w:rsid w:val="00573092"/>
    <w:rsid w:val="00590EBA"/>
    <w:rsid w:val="005A6036"/>
    <w:rsid w:val="005D49F3"/>
    <w:rsid w:val="005D6016"/>
    <w:rsid w:val="005F39BB"/>
    <w:rsid w:val="006206BC"/>
    <w:rsid w:val="00623F6A"/>
    <w:rsid w:val="006771F5"/>
    <w:rsid w:val="00682255"/>
    <w:rsid w:val="00682F6C"/>
    <w:rsid w:val="006B0080"/>
    <w:rsid w:val="006C5B81"/>
    <w:rsid w:val="006E241F"/>
    <w:rsid w:val="006E663B"/>
    <w:rsid w:val="006E7BAC"/>
    <w:rsid w:val="006F2478"/>
    <w:rsid w:val="006F5CEC"/>
    <w:rsid w:val="00713612"/>
    <w:rsid w:val="007537F3"/>
    <w:rsid w:val="007574CC"/>
    <w:rsid w:val="00760188"/>
    <w:rsid w:val="00762689"/>
    <w:rsid w:val="0076536B"/>
    <w:rsid w:val="00797B8D"/>
    <w:rsid w:val="007A2A9E"/>
    <w:rsid w:val="007A2C48"/>
    <w:rsid w:val="007C193D"/>
    <w:rsid w:val="007C1DA1"/>
    <w:rsid w:val="007C2C66"/>
    <w:rsid w:val="007C5571"/>
    <w:rsid w:val="007E34F9"/>
    <w:rsid w:val="007F287E"/>
    <w:rsid w:val="008100DA"/>
    <w:rsid w:val="00815253"/>
    <w:rsid w:val="00825126"/>
    <w:rsid w:val="00826C1F"/>
    <w:rsid w:val="00832910"/>
    <w:rsid w:val="00833362"/>
    <w:rsid w:val="00852AE0"/>
    <w:rsid w:val="008629F9"/>
    <w:rsid w:val="00873826"/>
    <w:rsid w:val="00877579"/>
    <w:rsid w:val="00886BB0"/>
    <w:rsid w:val="008C564A"/>
    <w:rsid w:val="009134E8"/>
    <w:rsid w:val="00930935"/>
    <w:rsid w:val="00931F64"/>
    <w:rsid w:val="009353F5"/>
    <w:rsid w:val="00951109"/>
    <w:rsid w:val="0095359F"/>
    <w:rsid w:val="00980ADA"/>
    <w:rsid w:val="00987CEA"/>
    <w:rsid w:val="00995808"/>
    <w:rsid w:val="00997C81"/>
    <w:rsid w:val="009F02A4"/>
    <w:rsid w:val="009F39D3"/>
    <w:rsid w:val="009F793A"/>
    <w:rsid w:val="00A17557"/>
    <w:rsid w:val="00A95740"/>
    <w:rsid w:val="00A9653B"/>
    <w:rsid w:val="00AB2D91"/>
    <w:rsid w:val="00AB3D97"/>
    <w:rsid w:val="00AD3FBD"/>
    <w:rsid w:val="00AE6306"/>
    <w:rsid w:val="00AF0886"/>
    <w:rsid w:val="00B10270"/>
    <w:rsid w:val="00B500B3"/>
    <w:rsid w:val="00B72705"/>
    <w:rsid w:val="00B82ABA"/>
    <w:rsid w:val="00B9085A"/>
    <w:rsid w:val="00BA1261"/>
    <w:rsid w:val="00BA6137"/>
    <w:rsid w:val="00BA7D02"/>
    <w:rsid w:val="00BE4C5E"/>
    <w:rsid w:val="00BE6085"/>
    <w:rsid w:val="00BF46FC"/>
    <w:rsid w:val="00C04B4A"/>
    <w:rsid w:val="00C219AB"/>
    <w:rsid w:val="00C51F40"/>
    <w:rsid w:val="00C52F14"/>
    <w:rsid w:val="00C653BA"/>
    <w:rsid w:val="00C8160C"/>
    <w:rsid w:val="00C81F42"/>
    <w:rsid w:val="00C83A48"/>
    <w:rsid w:val="00CA4A17"/>
    <w:rsid w:val="00CB5053"/>
    <w:rsid w:val="00CB6F70"/>
    <w:rsid w:val="00CC0BF5"/>
    <w:rsid w:val="00CC41EB"/>
    <w:rsid w:val="00CD3A66"/>
    <w:rsid w:val="00CE6B32"/>
    <w:rsid w:val="00CF765A"/>
    <w:rsid w:val="00D17B03"/>
    <w:rsid w:val="00D57C91"/>
    <w:rsid w:val="00D6569E"/>
    <w:rsid w:val="00D719B3"/>
    <w:rsid w:val="00D753CF"/>
    <w:rsid w:val="00D769D1"/>
    <w:rsid w:val="00D777D1"/>
    <w:rsid w:val="00D87541"/>
    <w:rsid w:val="00DA03DF"/>
    <w:rsid w:val="00DA233F"/>
    <w:rsid w:val="00DA5C4C"/>
    <w:rsid w:val="00DB3942"/>
    <w:rsid w:val="00DB66EC"/>
    <w:rsid w:val="00DD51DB"/>
    <w:rsid w:val="00DE4468"/>
    <w:rsid w:val="00DF1163"/>
    <w:rsid w:val="00E05153"/>
    <w:rsid w:val="00E2412B"/>
    <w:rsid w:val="00E5213B"/>
    <w:rsid w:val="00E567DF"/>
    <w:rsid w:val="00E57535"/>
    <w:rsid w:val="00E64BC1"/>
    <w:rsid w:val="00E65335"/>
    <w:rsid w:val="00E669A1"/>
    <w:rsid w:val="00E77DCC"/>
    <w:rsid w:val="00E834A7"/>
    <w:rsid w:val="00E83FCD"/>
    <w:rsid w:val="00EA6172"/>
    <w:rsid w:val="00EA7E8C"/>
    <w:rsid w:val="00EE0A97"/>
    <w:rsid w:val="00F66322"/>
    <w:rsid w:val="00F74E62"/>
    <w:rsid w:val="00F8609C"/>
    <w:rsid w:val="00F91564"/>
    <w:rsid w:val="00F96E2D"/>
    <w:rsid w:val="00FA13A7"/>
    <w:rsid w:val="00FB6C42"/>
    <w:rsid w:val="00FC204C"/>
    <w:rsid w:val="00FE122C"/>
    <w:rsid w:val="00FE3B1F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2B54F"/>
  <w15:docId w15:val="{A2880F95-6BB3-467E-BDF8-CA33732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71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7C5571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57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7C5571"/>
    <w:pPr>
      <w:keepNext/>
      <w:keepLines/>
      <w:spacing w:before="360" w:after="360"/>
      <w:jc w:val="center"/>
    </w:pPr>
    <w:rPr>
      <w:rFonts w:ascii="Antiqua" w:hAnsi="Antiqua"/>
      <w:b/>
      <w:sz w:val="26"/>
    </w:rPr>
  </w:style>
  <w:style w:type="character" w:customStyle="1" w:styleId="FontStyle17">
    <w:name w:val="Font Style17"/>
    <w:rsid w:val="007C5571"/>
    <w:rPr>
      <w:rFonts w:ascii="Times New Roman" w:hAnsi="Times New Roman"/>
      <w:b/>
      <w:sz w:val="26"/>
    </w:rPr>
  </w:style>
  <w:style w:type="paragraph" w:styleId="a4">
    <w:name w:val="header"/>
    <w:basedOn w:val="a"/>
    <w:link w:val="a5"/>
    <w:rsid w:val="00FB6C4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locked/>
    <w:rsid w:val="00FB6C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rsid w:val="00FB6C4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locked/>
    <w:rsid w:val="00FB6C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note text"/>
    <w:basedOn w:val="a"/>
    <w:link w:val="a9"/>
    <w:uiPriority w:val="99"/>
    <w:semiHidden/>
    <w:rsid w:val="00D57C91"/>
    <w:rPr>
      <w:rFonts w:ascii="Calibri" w:hAnsi="Calibri"/>
    </w:rPr>
  </w:style>
  <w:style w:type="character" w:customStyle="1" w:styleId="a9">
    <w:name w:val="Текст виноски Знак"/>
    <w:link w:val="a8"/>
    <w:uiPriority w:val="99"/>
    <w:semiHidden/>
    <w:locked/>
    <w:rsid w:val="00D57C91"/>
    <w:rPr>
      <w:rFonts w:ascii="Calibri" w:hAnsi="Calibri" w:cs="Times New Roman"/>
      <w:sz w:val="20"/>
      <w:szCs w:val="20"/>
      <w:lang w:val="uk-UA"/>
    </w:rPr>
  </w:style>
  <w:style w:type="character" w:styleId="aa">
    <w:name w:val="footnote reference"/>
    <w:semiHidden/>
    <w:rsid w:val="00D57C91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DA5C4C"/>
    <w:pPr>
      <w:ind w:left="720"/>
      <w:contextualSpacing/>
    </w:pPr>
  </w:style>
  <w:style w:type="character" w:styleId="ab">
    <w:name w:val="Emphasis"/>
    <w:qFormat/>
    <w:rsid w:val="00886BB0"/>
    <w:rPr>
      <w:rFonts w:cs="Times New Roman"/>
      <w:i/>
      <w:iCs/>
    </w:rPr>
  </w:style>
  <w:style w:type="paragraph" w:styleId="ac">
    <w:name w:val="Balloon Text"/>
    <w:basedOn w:val="a"/>
    <w:link w:val="ad"/>
    <w:rsid w:val="00F8609C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F8609C"/>
    <w:rPr>
      <w:rFonts w:ascii="Segoe UI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7A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arnegie.ru/commentary/2016/08/08/ru-64261/j3hc" TargetMode="External"/><Relationship Id="rId1" Type="http://schemas.openxmlformats.org/officeDocument/2006/relationships/hyperlink" Target="http://www.fst-ua.info/wp-content/uploads/2019/07/Voluntary_Private_Pensions_in_Ukraine-Assessment_jul2019_u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5069-9219-44FD-AF21-69FB16FB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6657</Words>
  <Characters>3796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И С Н О В О К</vt:lpstr>
      <vt:lpstr>В И С Н О В О К</vt:lpstr>
    </vt:vector>
  </TitlesOfParts>
  <Company>SPecialiST RePack</Company>
  <LinksUpToDate>false</LinksUpToDate>
  <CharactersWithSpaces>10433</CharactersWithSpaces>
  <SharedDoc>false</SharedDoc>
  <HLinks>
    <vt:vector size="12" baseType="variant">
      <vt:variant>
        <vt:i4>2883684</vt:i4>
      </vt:variant>
      <vt:variant>
        <vt:i4>3</vt:i4>
      </vt:variant>
      <vt:variant>
        <vt:i4>0</vt:i4>
      </vt:variant>
      <vt:variant>
        <vt:i4>5</vt:i4>
      </vt:variant>
      <vt:variant>
        <vt:lpwstr>http://carnegie.ru/commentary/2016/08/08/ru-64261/j3hc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http://www.fst-ua.info/wp-content/uploads/2019/07/Voluntary_Private_Pensions_in_Ukraine-Assessment_jul2019_ua.pdf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 С Н О В О К</dc:title>
  <dc:creator>Пользователь Windows</dc:creator>
  <cp:lastModifiedBy>Інна Григорівна Лопотуха</cp:lastModifiedBy>
  <cp:revision>7</cp:revision>
  <cp:lastPrinted>2020-06-03T07:59:00Z</cp:lastPrinted>
  <dcterms:created xsi:type="dcterms:W3CDTF">2020-06-03T07:57:00Z</dcterms:created>
  <dcterms:modified xsi:type="dcterms:W3CDTF">2020-06-03T08:01:00Z</dcterms:modified>
</cp:coreProperties>
</file>