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6D" w:rsidRDefault="0065316D" w:rsidP="0065316D">
      <w:pPr>
        <w:pStyle w:val="StyleZakonu"/>
        <w:spacing w:after="0" w:line="240" w:lineRule="auto"/>
        <w:ind w:firstLine="720"/>
        <w:jc w:val="right"/>
        <w:rPr>
          <w:sz w:val="28"/>
        </w:rPr>
      </w:pPr>
      <w:r w:rsidRPr="0065316D">
        <w:rPr>
          <w:sz w:val="28"/>
        </w:rPr>
        <w:t>П</w:t>
      </w:r>
      <w:r w:rsidRPr="0065316D">
        <w:rPr>
          <w:sz w:val="28"/>
        </w:rPr>
        <w:t>роект</w:t>
      </w:r>
    </w:p>
    <w:p w:rsidR="0065316D" w:rsidRDefault="0065316D" w:rsidP="0065316D">
      <w:pPr>
        <w:pStyle w:val="StyleZakonu"/>
        <w:spacing w:after="0" w:line="240" w:lineRule="auto"/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(</w:t>
      </w:r>
      <w:r>
        <w:rPr>
          <w:sz w:val="28"/>
          <w:lang w:val="ru-RU"/>
        </w:rPr>
        <w:t>тираж 30.09.2021</w:t>
      </w:r>
      <w:r>
        <w:rPr>
          <w:sz w:val="28"/>
          <w:lang w:val="en-US"/>
        </w:rPr>
        <w:t>)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jc w:val="right"/>
        <w:rPr>
          <w:sz w:val="28"/>
          <w:lang w:val="en-US"/>
        </w:rPr>
      </w:pPr>
    </w:p>
    <w:p w:rsidR="0065316D" w:rsidRPr="0065316D" w:rsidRDefault="0065316D" w:rsidP="0065316D">
      <w:pPr>
        <w:pStyle w:val="StyleZakonu"/>
        <w:spacing w:after="0" w:line="240" w:lineRule="auto"/>
        <w:ind w:firstLine="720"/>
        <w:jc w:val="center"/>
        <w:rPr>
          <w:sz w:val="28"/>
        </w:rPr>
      </w:pPr>
      <w:r w:rsidRPr="0065316D">
        <w:rPr>
          <w:sz w:val="28"/>
        </w:rPr>
        <w:t>Закон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</w:t>
      </w:r>
    </w:p>
    <w:p w:rsidR="0065316D" w:rsidRDefault="0065316D" w:rsidP="0065316D">
      <w:pPr>
        <w:pStyle w:val="StyleZakonu"/>
        <w:spacing w:after="0" w:line="240" w:lineRule="auto"/>
        <w:ind w:firstLine="720"/>
        <w:jc w:val="center"/>
        <w:rPr>
          <w:sz w:val="28"/>
        </w:rPr>
      </w:pPr>
      <w:r w:rsidRPr="0065316D">
        <w:rPr>
          <w:sz w:val="28"/>
        </w:rPr>
        <w:t>Про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внесення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змін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деяких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законодавчих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актів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щодо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охорони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середовища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їх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існування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jc w:val="center"/>
        <w:rPr>
          <w:sz w:val="28"/>
        </w:rPr>
      </w:pP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Верховна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Рада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л</w:t>
      </w:r>
      <w:r w:rsidRPr="0065316D">
        <w:rPr>
          <w:sz w:val="28"/>
        </w:rPr>
        <w:t xml:space="preserve"> </w:t>
      </w:r>
      <w:r w:rsidRPr="0065316D">
        <w:rPr>
          <w:sz w:val="28"/>
        </w:rPr>
        <w:t>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є: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I.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Внести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зміни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таких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законодавчих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актів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  <w:highlight w:val="white"/>
          <w:lang w:eastAsia="en-US"/>
        </w:rPr>
      </w:pPr>
      <w:r w:rsidRPr="0065316D">
        <w:rPr>
          <w:sz w:val="28"/>
          <w:highlight w:val="white"/>
          <w:lang w:eastAsia="en-US"/>
        </w:rPr>
        <w:t>3.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Частину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п’яту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статті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39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Закону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України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«Про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тваринний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світ»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(Відомості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Верховної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Ради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України,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2002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р.,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№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14,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ст.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97;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2015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р.,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№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25,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ст.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194)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після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слів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«маломірних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суден»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доповнити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словами</w:t>
      </w:r>
      <w:r w:rsidRPr="0065316D">
        <w:rPr>
          <w:sz w:val="28"/>
          <w:highlight w:val="white"/>
          <w:lang w:eastAsia="en-US"/>
        </w:rPr>
        <w:t xml:space="preserve"> </w:t>
      </w:r>
      <w:r w:rsidRPr="0065316D">
        <w:rPr>
          <w:sz w:val="28"/>
          <w:highlight w:val="white"/>
          <w:lang w:eastAsia="en-US"/>
        </w:rPr>
        <w:t>«</w:t>
      </w:r>
      <w:r w:rsidRPr="0065316D">
        <w:rPr>
          <w:sz w:val="28"/>
          <w:lang w:eastAsia="en-US"/>
        </w:rPr>
        <w:t>(крім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їх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використання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під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час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здійснення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контролю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у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сфері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охорони,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використання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і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відтворення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тваринного</w:t>
      </w:r>
      <w:r w:rsidRPr="0065316D">
        <w:rPr>
          <w:sz w:val="28"/>
          <w:lang w:eastAsia="en-US"/>
        </w:rPr>
        <w:t xml:space="preserve"> </w:t>
      </w:r>
      <w:r w:rsidRPr="0065316D">
        <w:rPr>
          <w:sz w:val="28"/>
          <w:lang w:eastAsia="en-US"/>
        </w:rPr>
        <w:t>світу)</w:t>
      </w:r>
      <w:r w:rsidRPr="0065316D">
        <w:rPr>
          <w:sz w:val="28"/>
          <w:highlight w:val="white"/>
          <w:lang w:eastAsia="en-US"/>
        </w:rPr>
        <w:t>».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4.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22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Закону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«Про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рибне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господарство,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промислове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рибальство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охорону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біоресурсів»</w:t>
      </w:r>
      <w:r w:rsidRPr="0065316D">
        <w:rPr>
          <w:sz w:val="28"/>
        </w:rPr>
        <w:t xml:space="preserve"> </w:t>
      </w:r>
      <w:r w:rsidRPr="0065316D">
        <w:rPr>
          <w:sz w:val="28"/>
          <w:shd w:val="clear" w:color="auto" w:fill="FFFFFF"/>
        </w:rPr>
        <w:t>(Відомості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Верховної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Ради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України,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2012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р.,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№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17,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ст.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155;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2014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р.,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№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6-7,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ст.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80)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доповнити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частиною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третьою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такого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змісту: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  <w:shd w:val="clear" w:color="auto" w:fill="FFFFFF"/>
        </w:rPr>
      </w:pPr>
      <w:r w:rsidRPr="0065316D">
        <w:rPr>
          <w:sz w:val="28"/>
          <w:shd w:val="clear" w:color="auto" w:fill="FFFFFF"/>
        </w:rPr>
        <w:t>«Під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час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здійснення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громадського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контролю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за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провадженням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рибогосподарської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діяльності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громадські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інспектори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мають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право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використовувати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свої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транспортні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засоби,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річкові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та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маломірні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судна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за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власний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рахунок».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1.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Кодексі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адміністративні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правопорушення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(Відомості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Верховної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Ради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УРСР,</w:t>
      </w:r>
      <w:r w:rsidRPr="0065316D">
        <w:rPr>
          <w:sz w:val="28"/>
        </w:rPr>
        <w:t xml:space="preserve"> </w:t>
      </w:r>
      <w:r w:rsidRPr="0065316D">
        <w:rPr>
          <w:sz w:val="28"/>
        </w:rPr>
        <w:t>1984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р.,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додаток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№</w:t>
      </w:r>
      <w:r w:rsidRPr="0065316D">
        <w:rPr>
          <w:sz w:val="28"/>
        </w:rPr>
        <w:t xml:space="preserve"> </w:t>
      </w:r>
      <w:r w:rsidRPr="0065316D">
        <w:rPr>
          <w:sz w:val="28"/>
        </w:rPr>
        <w:t>51,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ст.</w:t>
      </w:r>
      <w:r w:rsidRPr="0065316D">
        <w:rPr>
          <w:sz w:val="28"/>
        </w:rPr>
        <w:t xml:space="preserve"> </w:t>
      </w:r>
      <w:r w:rsidRPr="0065316D">
        <w:rPr>
          <w:sz w:val="28"/>
        </w:rPr>
        <w:t>1122):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1)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59: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абзаці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другому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першої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«трьох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семи»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замінити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«п’ятидесяти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ста»,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«п'яти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восьми»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«ста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двохсот»;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  <w:shd w:val="clear" w:color="auto" w:fill="FFFFFF"/>
        </w:rPr>
      </w:pPr>
      <w:r w:rsidRPr="0065316D">
        <w:rPr>
          <w:sz w:val="28"/>
          <w:shd w:val="clear" w:color="auto" w:fill="FFFFFF"/>
        </w:rPr>
        <w:t>в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абзаці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другому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частини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другої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слова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«п’яти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до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восьми»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замінити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словами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«ста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до</w:t>
      </w:r>
      <w:r w:rsidRPr="0065316D">
        <w:rPr>
          <w:sz w:val="28"/>
          <w:shd w:val="clear" w:color="auto" w:fill="FFFFFF"/>
        </w:rPr>
        <w:t xml:space="preserve"> </w:t>
      </w:r>
      <w:r w:rsidRPr="0065316D">
        <w:rPr>
          <w:sz w:val="28"/>
          <w:shd w:val="clear" w:color="auto" w:fill="FFFFFF"/>
        </w:rPr>
        <w:t>двохсот»;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доповнити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частиною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третьою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такого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змісту: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«Виконання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робіт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землях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фонду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без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здійснення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заходів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щодо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збереження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середовища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існування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умов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розмноження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забезпечення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недоторканності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ділянок,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що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становлять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особливу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цінність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для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охорони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відтворення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біоресурсів,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тягне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собою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накладення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штрафу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чотирьохсот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дев’ятисот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неоподатковуваних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мінімумів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доходів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конфіскацією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засобів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вчинення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правопорушення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посадових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осіб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двох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тисяч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трьох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тисяч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неоподатковуваних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мінімумів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доходів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конфіскацією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засобів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вчинення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правопорушення»;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2)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85: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lastRenderedPageBreak/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абзаці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другому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третьої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«двох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десяти»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замінити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«сорока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п’ятдесяти»,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«десяти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тридцяти»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«двохсот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трьохсот»,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«попередження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виключити;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частину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четверту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викласти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такій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редакції: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«Грубе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порушення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правил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рибальства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(рибальство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використанням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знарядь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(вилову)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особами,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які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мають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дозвільних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документів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спеціальне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використання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перебування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водному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об’єкті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прибережній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захисній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смузі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забороненими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знаряддями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(вилову)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(вибухові,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отруйні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речовини,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знаряддя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лову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застосуванням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електроструму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інші,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пристосовані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для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масового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знищення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риби,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звірів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інших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тваринного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світу);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приховування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обсягів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вилучення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під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спеціального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використання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біоресурсів;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застосування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промислових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знарядь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(вилову)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що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відповідають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правилам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режимам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рибальства;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незаконне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здійснення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промислових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операцій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заборонених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для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промислу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місцях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заборонений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для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промислу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період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часу;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(вилов)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обсягах,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що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перевищують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встановлені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ліміти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(квоти),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порушенням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правил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любительського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спортивного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рибальства)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тягне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собою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накладення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штрафу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двохсот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п’ятисот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неоподатковуваних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мінімумів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доходів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конфіскацією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знарядь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(вилову)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засобів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вчинення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правопорушення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незаконно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добутих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(виловлених)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посадових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осіб,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фізичних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осіб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підприємців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чотирьохсот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восьмисот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неоподатковуваних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мінімумів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доходів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конфіскацією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знарядь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(вилову)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засобів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вчинення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правопорушення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незаконно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добутих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(виловлених)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біоресурсів»;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3)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абзаці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другому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86</w:t>
      </w:r>
      <w:r w:rsidRPr="0065316D">
        <w:rPr>
          <w:sz w:val="28"/>
          <w:vertAlign w:val="superscript"/>
        </w:rPr>
        <w:t>1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«одного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шести»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замінити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«ста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трьохсот»,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«пʼяти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восьми»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«чотирьохсот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дев’яноста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дев’ятисот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дев’яноста»;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4)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88: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абзаці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другому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першої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«тридцяти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п’ятдесяти»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замінити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«ста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п’ятдесяти»,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«п’ятдесяти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сімдесяти»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«двохсот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трьохсот»;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абзаці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другому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другої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«п’ятдесяти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замінити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«трьохсот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п’ятисот»,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«сімдесяти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двадцяти»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«п’ятисот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тисячі»,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без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такої»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виключити;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5)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88</w:t>
      </w:r>
      <w:r w:rsidRPr="0065316D">
        <w:rPr>
          <w:sz w:val="28"/>
          <w:vertAlign w:val="superscript"/>
        </w:rPr>
        <w:t>1</w:t>
      </w:r>
      <w:r w:rsidRPr="0065316D">
        <w:rPr>
          <w:sz w:val="28"/>
        </w:rPr>
        <w:t>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абзаці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другому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другої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«ста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двохсот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п’ятнадцяти»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замінити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«п’ятисот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однієї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тисячі»;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абзаці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другому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третьої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«трьох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п’ятдесяти»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замінити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«п’ятисот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однієї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тисячі»;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lastRenderedPageBreak/>
        <w:t>6)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абзаці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другому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90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«двадцяти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тридцяти»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замінити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«ста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двохсот»,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«тридцяти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п'ятдесяти»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«тисячі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двох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тисяч»;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7)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текст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91</w:t>
      </w:r>
      <w:r w:rsidRPr="0065316D">
        <w:rPr>
          <w:sz w:val="28"/>
          <w:vertAlign w:val="superscript"/>
        </w:rPr>
        <w:t>2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викласти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такій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редакції: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«Перевищення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затверджених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лімітів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(у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тому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числі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квот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(вилову),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часток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(вилову)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нормативів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використання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природних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ресурсів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тягне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собою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накладення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штрафу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трьохсот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неоподатковуваних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мінімумів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доходів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посадових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осіб,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фізичних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осіб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підприємців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трьохсот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семисот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неоподатковуваних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мінімумів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доходів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громадян»;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8)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абзац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«органів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рибоохорони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(частини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четверта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п’ята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85,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85-1,</w:t>
      </w:r>
      <w:r w:rsidRPr="0065316D">
        <w:rPr>
          <w:sz w:val="28"/>
        </w:rPr>
        <w:t xml:space="preserve"> </w:t>
      </w:r>
      <w:r w:rsidRPr="0065316D">
        <w:rPr>
          <w:sz w:val="28"/>
        </w:rPr>
        <w:t>88-1,</w:t>
      </w:r>
      <w:r w:rsidRPr="0065316D">
        <w:rPr>
          <w:sz w:val="28"/>
        </w:rPr>
        <w:t xml:space="preserve"> </w:t>
      </w:r>
      <w:r w:rsidRPr="0065316D">
        <w:rPr>
          <w:sz w:val="28"/>
        </w:rPr>
        <w:t>90,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164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порушення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порядку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провадження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господарської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діяльності,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пов’язаної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використанням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риби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інших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живих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ресурсів)»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пункту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1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першої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255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викласти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такій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редакції: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«органів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рибоохорони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(частини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четверта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п’ята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85,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85</w:t>
      </w:r>
      <w:r w:rsidRPr="0065316D">
        <w:rPr>
          <w:sz w:val="28"/>
          <w:vertAlign w:val="superscript"/>
        </w:rPr>
        <w:t>1</w:t>
      </w:r>
      <w:r w:rsidRPr="0065316D">
        <w:rPr>
          <w:sz w:val="28"/>
        </w:rPr>
        <w:t>,</w:t>
      </w:r>
      <w:r w:rsidRPr="0065316D">
        <w:rPr>
          <w:sz w:val="28"/>
        </w:rPr>
        <w:t xml:space="preserve"> </w:t>
      </w:r>
      <w:r w:rsidRPr="0065316D">
        <w:rPr>
          <w:sz w:val="28"/>
        </w:rPr>
        <w:t>88</w:t>
      </w:r>
      <w:r w:rsidRPr="0065316D">
        <w:rPr>
          <w:sz w:val="28"/>
          <w:vertAlign w:val="superscript"/>
        </w:rPr>
        <w:t>1</w:t>
      </w:r>
      <w:r w:rsidRPr="0065316D">
        <w:rPr>
          <w:sz w:val="28"/>
        </w:rPr>
        <w:t>,</w:t>
      </w:r>
      <w:r w:rsidRPr="0065316D">
        <w:rPr>
          <w:sz w:val="28"/>
        </w:rPr>
        <w:t xml:space="preserve"> </w:t>
      </w:r>
      <w:r w:rsidRPr="0065316D">
        <w:rPr>
          <w:sz w:val="28"/>
        </w:rPr>
        <w:t>90,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91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частині,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що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стосується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правопорушень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сфері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охорони,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використання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відтворення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об’єктах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природно-заповідного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фонду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місцевого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значення,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створено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відповідної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служби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охорони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цих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об’єктів,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164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порушення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порядку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провадження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господарської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діяльності,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пов’язаної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(виловом)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біоресурсів)»;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9)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частині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першій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258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слова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цифри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«частиною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третьою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85»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виключити.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2.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Текст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249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Кримінального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кодексу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(Відомості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Верховної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Ради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України,</w:t>
      </w:r>
      <w:r w:rsidRPr="0065316D">
        <w:rPr>
          <w:sz w:val="28"/>
        </w:rPr>
        <w:t xml:space="preserve"> </w:t>
      </w:r>
      <w:r w:rsidRPr="0065316D">
        <w:rPr>
          <w:sz w:val="28"/>
        </w:rPr>
        <w:t>2001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р.,</w:t>
      </w:r>
      <w:r w:rsidRPr="0065316D">
        <w:rPr>
          <w:sz w:val="28"/>
        </w:rPr>
        <w:t xml:space="preserve"> </w:t>
      </w:r>
      <w:r w:rsidRPr="0065316D">
        <w:rPr>
          <w:sz w:val="28"/>
        </w:rPr>
        <w:t>№</w:t>
      </w:r>
      <w:r w:rsidRPr="0065316D">
        <w:rPr>
          <w:sz w:val="28"/>
        </w:rPr>
        <w:t xml:space="preserve"> </w:t>
      </w:r>
      <w:r w:rsidRPr="0065316D">
        <w:rPr>
          <w:sz w:val="28"/>
        </w:rPr>
        <w:t>25-26,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ст.</w:t>
      </w:r>
      <w:r w:rsidRPr="0065316D">
        <w:rPr>
          <w:sz w:val="28"/>
        </w:rPr>
        <w:t xml:space="preserve"> </w:t>
      </w:r>
      <w:r w:rsidRPr="0065316D">
        <w:rPr>
          <w:sz w:val="28"/>
        </w:rPr>
        <w:t>131)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викласти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такій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редакції: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«1.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Незаконне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зайняття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рибним,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звіриним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іншим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добувним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промислом,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якщо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такі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дії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заподіяли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істотну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шкоду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вчинені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територіях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об’єктах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природно-заповідного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фонду,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карається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штрафом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однієї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тисячі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трьох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тисяч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неоподатковуваних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мінімумів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доходів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обмеженням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волі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строк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трьох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років.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2.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самі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діяння,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якщо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вчинені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застосуванням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заборонених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знарядь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об’єктів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тваринного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світу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пов’язані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добуванням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об’єктів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тваринного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світу,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занесених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Червоної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книги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переліків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тварин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переліків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рослин,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що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підлягають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особливій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охороні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території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Автономної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Республіки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Крим,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областей,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міст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Києва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Севастополя,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також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умисне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знищення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таких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біоресурсів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природних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рослинних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угруповань,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занесених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Зеленої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книги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їх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місць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зростання,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вчинені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особою,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раніше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судимою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кримінальне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правопорушення,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передбачене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цією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статтею,</w:t>
      </w:r>
      <w:r w:rsidRPr="0065316D">
        <w:rPr>
          <w:sz w:val="28"/>
        </w:rPr>
        <w:t xml:space="preserve"> </w:t>
      </w:r>
      <w:r w:rsidRPr="0065316D">
        <w:rPr>
          <w:sz w:val="28"/>
        </w:rPr>
        <w:t>-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lastRenderedPageBreak/>
        <w:t>караються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штрафом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трьох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тисяч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п’яти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тисяч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неоподатковуваних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мінімумів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доходів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обмеженням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волі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строк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трьох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років,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або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позбавленням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волі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той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самий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строк.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Примітка.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Істотною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шкодою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цій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статті,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якщо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вона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полягає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заподіянні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матеріальних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збитків,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вважається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така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шкода,</w:t>
      </w:r>
      <w:r w:rsidRPr="0065316D">
        <w:rPr>
          <w:sz w:val="28"/>
        </w:rPr>
        <w:t xml:space="preserve"> </w:t>
      </w:r>
      <w:r w:rsidRPr="0065316D">
        <w:rPr>
          <w:sz w:val="28"/>
        </w:rPr>
        <w:t>яка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двадцять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більше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разів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перевищує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неоподатковуваний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мінімум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доходів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громадян».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ІІ.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Прикінцеві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положення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1.</w:t>
      </w:r>
      <w:r w:rsidRPr="0065316D">
        <w:rPr>
          <w:sz w:val="28"/>
        </w:rPr>
        <w:t xml:space="preserve"> </w:t>
      </w:r>
      <w:r w:rsidRPr="0065316D">
        <w:rPr>
          <w:sz w:val="28"/>
        </w:rPr>
        <w:t>Цей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Закон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набирає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чинності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дня,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наступного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днем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його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опублікування.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2.</w:t>
      </w:r>
      <w:r w:rsidRPr="0065316D">
        <w:rPr>
          <w:sz w:val="28"/>
        </w:rPr>
        <w:t xml:space="preserve"> </w:t>
      </w:r>
      <w:r w:rsidRPr="0065316D">
        <w:rPr>
          <w:sz w:val="28"/>
        </w:rPr>
        <w:t>Кабінету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Міністрів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тримісячний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строк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набрання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чинності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цим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Законом: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забезпечити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прийняття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нормативно-правових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актів,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необхідних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для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реалізації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положень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цього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Закону;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привести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свої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нормативно-правові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акти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відповідність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цим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Законом;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забезпечити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приведення</w:t>
      </w:r>
      <w:r w:rsidRPr="0065316D">
        <w:rPr>
          <w:sz w:val="28"/>
        </w:rPr>
        <w:t xml:space="preserve"> </w:t>
      </w:r>
      <w:r w:rsidRPr="0065316D">
        <w:rPr>
          <w:sz w:val="28"/>
        </w:rPr>
        <w:t>міністерствами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та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іншими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центральними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органами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виконавчої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влади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їх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нормативно-правових</w:t>
      </w:r>
      <w:r w:rsidRPr="0065316D">
        <w:rPr>
          <w:sz w:val="28"/>
        </w:rPr>
        <w:t xml:space="preserve"> </w:t>
      </w:r>
      <w:r w:rsidRPr="0065316D">
        <w:rPr>
          <w:sz w:val="28"/>
        </w:rPr>
        <w:t>актів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</w:t>
      </w:r>
      <w:r w:rsidRPr="0065316D">
        <w:rPr>
          <w:sz w:val="28"/>
        </w:rPr>
        <w:t xml:space="preserve"> </w:t>
      </w:r>
      <w:r w:rsidRPr="0065316D">
        <w:rPr>
          <w:sz w:val="28"/>
        </w:rPr>
        <w:t>відповідність</w:t>
      </w:r>
      <w:r w:rsidRPr="0065316D">
        <w:rPr>
          <w:sz w:val="28"/>
        </w:rPr>
        <w:t xml:space="preserve"> </w:t>
      </w:r>
      <w:r w:rsidRPr="0065316D">
        <w:rPr>
          <w:sz w:val="28"/>
        </w:rPr>
        <w:t>із</w:t>
      </w:r>
      <w:r w:rsidRPr="0065316D">
        <w:rPr>
          <w:sz w:val="28"/>
        </w:rPr>
        <w:t xml:space="preserve"> </w:t>
      </w:r>
      <w:r w:rsidRPr="0065316D">
        <w:rPr>
          <w:sz w:val="28"/>
        </w:rPr>
        <w:t>цим</w:t>
      </w:r>
      <w:r w:rsidRPr="0065316D">
        <w:rPr>
          <w:sz w:val="28"/>
        </w:rPr>
        <w:t xml:space="preserve"> </w:t>
      </w:r>
      <w:r w:rsidRPr="0065316D">
        <w:rPr>
          <w:sz w:val="28"/>
        </w:rPr>
        <w:t>Законом.</w:t>
      </w:r>
    </w:p>
    <w:p w:rsidR="0065316D" w:rsidRPr="0065316D" w:rsidRDefault="0065316D" w:rsidP="0065316D">
      <w:pPr>
        <w:pStyle w:val="StyleZakonu"/>
        <w:spacing w:after="0" w:line="240" w:lineRule="auto"/>
        <w:ind w:firstLine="720"/>
        <w:rPr>
          <w:sz w:val="28"/>
        </w:rPr>
      </w:pPr>
      <w:r w:rsidRPr="0065316D">
        <w:rPr>
          <w:sz w:val="28"/>
        </w:rPr>
        <w:t>Голова</w:t>
      </w:r>
      <w:r>
        <w:rPr>
          <w:sz w:val="28"/>
          <w:lang w:val="ru-RU"/>
        </w:rPr>
        <w:t xml:space="preserve"> </w:t>
      </w:r>
      <w:bookmarkStart w:id="0" w:name="_GoBack"/>
      <w:bookmarkEnd w:id="0"/>
      <w:r w:rsidRPr="0065316D">
        <w:rPr>
          <w:sz w:val="28"/>
        </w:rPr>
        <w:t>Верховної</w:t>
      </w:r>
      <w:r w:rsidRPr="0065316D">
        <w:rPr>
          <w:sz w:val="28"/>
        </w:rPr>
        <w:t xml:space="preserve"> </w:t>
      </w:r>
      <w:r w:rsidRPr="0065316D">
        <w:rPr>
          <w:sz w:val="28"/>
        </w:rPr>
        <w:t>Ради</w:t>
      </w:r>
      <w:r w:rsidRPr="0065316D">
        <w:rPr>
          <w:sz w:val="28"/>
        </w:rPr>
        <w:t xml:space="preserve"> </w:t>
      </w:r>
      <w:r w:rsidRPr="0065316D">
        <w:rPr>
          <w:sz w:val="28"/>
        </w:rPr>
        <w:t>України</w:t>
      </w:r>
    </w:p>
    <w:p w:rsidR="00595064" w:rsidRPr="0065316D" w:rsidRDefault="00595064" w:rsidP="0065316D">
      <w:pPr>
        <w:ind w:firstLine="720"/>
        <w:jc w:val="both"/>
        <w:rPr>
          <w:sz w:val="28"/>
        </w:rPr>
      </w:pPr>
    </w:p>
    <w:sectPr w:rsidR="00595064" w:rsidRPr="0065316D" w:rsidSect="0065316D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6D" w:rsidRDefault="0065316D">
      <w:r>
        <w:separator/>
      </w:r>
    </w:p>
  </w:endnote>
  <w:endnote w:type="continuationSeparator" w:id="0">
    <w:p w:rsidR="0065316D" w:rsidRDefault="006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6D" w:rsidRDefault="0065316D" w:rsidP="00A3443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65316D" w:rsidRDefault="006531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6D" w:rsidRDefault="0065316D" w:rsidP="00A3443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  <w:r>
      <w:rPr>
        <w:rStyle w:val="a9"/>
      </w:rPr>
      <w:t xml:space="preserve"> -</w:t>
    </w:r>
  </w:p>
  <w:p w:rsidR="0065316D" w:rsidRDefault="006531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6D" w:rsidRDefault="0065316D">
      <w:r>
        <w:separator/>
      </w:r>
    </w:p>
  </w:footnote>
  <w:footnote w:type="continuationSeparator" w:id="0">
    <w:p w:rsidR="0065316D" w:rsidRDefault="0065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16D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316D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3610D"/>
  <w15:chartTrackingRefBased/>
  <w15:docId w15:val="{339C4C89-12FB-4951-9F49-016736F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paragraph" w:customStyle="1" w:styleId="a8">
    <w:name w:val="Номер страницы"/>
    <w:basedOn w:val="a6"/>
    <w:rsid w:val="0065316D"/>
    <w:rPr>
      <w:sz w:val="28"/>
    </w:rPr>
  </w:style>
  <w:style w:type="character" w:styleId="a9">
    <w:name w:val="page number"/>
    <w:basedOn w:val="a1"/>
    <w:rsid w:val="0065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5</TotalTime>
  <Pages>4</Pages>
  <Words>1106</Words>
  <Characters>6871</Characters>
  <Application>Microsoft Office Word</Application>
  <DocSecurity>0</DocSecurity>
  <Lines>140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2021-03-03T08:27:00Z</dcterms:created>
  <dcterms:modified xsi:type="dcterms:W3CDTF">2021-03-03T08:32:00Z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