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E" w:rsidRPr="00C85EBB" w:rsidRDefault="00F7668B" w:rsidP="00F10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8A5974" w:rsidRPr="00C85EBB" w:rsidRDefault="00F7668B" w:rsidP="00F10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 xml:space="preserve">Комітету Верховної Ради України з питань інтеграції України </w:t>
      </w:r>
    </w:p>
    <w:p w:rsidR="00F7668B" w:rsidRPr="00C85EBB" w:rsidRDefault="00F7668B" w:rsidP="00F10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>з Європейським Союзом</w:t>
      </w:r>
    </w:p>
    <w:p w:rsidR="00F7668B" w:rsidRPr="00C85EBB" w:rsidRDefault="00F7668B" w:rsidP="00F10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>щодо проекту Закону України</w:t>
      </w:r>
    </w:p>
    <w:p w:rsidR="00B96D39" w:rsidRPr="00C85EBB" w:rsidRDefault="0001245D" w:rsidP="00F10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деяких законів України щодо </w:t>
      </w:r>
      <w:proofErr w:type="spellStart"/>
      <w:r w:rsidRPr="00C85EBB">
        <w:rPr>
          <w:rFonts w:ascii="Times New Roman" w:hAnsi="Times New Roman" w:cs="Times New Roman"/>
          <w:b/>
          <w:sz w:val="28"/>
          <w:szCs w:val="28"/>
        </w:rPr>
        <w:t>конкуренційно</w:t>
      </w:r>
      <w:proofErr w:type="spellEnd"/>
      <w:r w:rsidRPr="00C85EBB">
        <w:rPr>
          <w:rFonts w:ascii="Times New Roman" w:hAnsi="Times New Roman" w:cs="Times New Roman"/>
          <w:b/>
          <w:sz w:val="28"/>
          <w:szCs w:val="28"/>
        </w:rPr>
        <w:t>-антимонопольну реформу</w:t>
      </w:r>
    </w:p>
    <w:p w:rsidR="00F7668B" w:rsidRPr="00C85EBB" w:rsidRDefault="00F7668B" w:rsidP="00F103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(реєстр. № </w:t>
      </w:r>
      <w:r w:rsidR="00E027B6" w:rsidRPr="00C85EBB">
        <w:rPr>
          <w:rFonts w:ascii="Times New Roman" w:hAnsi="Times New Roman" w:cs="Times New Roman"/>
          <w:sz w:val="28"/>
          <w:szCs w:val="28"/>
        </w:rPr>
        <w:t>2730</w:t>
      </w:r>
      <w:r w:rsidR="0001245D" w:rsidRPr="00C85EBB">
        <w:rPr>
          <w:rFonts w:ascii="Times New Roman" w:hAnsi="Times New Roman" w:cs="Times New Roman"/>
          <w:sz w:val="28"/>
          <w:szCs w:val="28"/>
        </w:rPr>
        <w:t>-2</w:t>
      </w:r>
      <w:r w:rsidRPr="00C85EBB">
        <w:rPr>
          <w:rFonts w:ascii="Times New Roman" w:hAnsi="Times New Roman" w:cs="Times New Roman"/>
          <w:sz w:val="28"/>
          <w:szCs w:val="28"/>
        </w:rPr>
        <w:t xml:space="preserve"> від </w:t>
      </w:r>
      <w:r w:rsidR="0001245D" w:rsidRPr="00C85EBB">
        <w:rPr>
          <w:rFonts w:ascii="Times New Roman" w:hAnsi="Times New Roman" w:cs="Times New Roman"/>
          <w:sz w:val="28"/>
          <w:szCs w:val="28"/>
        </w:rPr>
        <w:t>31</w:t>
      </w:r>
      <w:r w:rsidRPr="00C85EBB">
        <w:rPr>
          <w:rFonts w:ascii="Times New Roman" w:hAnsi="Times New Roman" w:cs="Times New Roman"/>
          <w:sz w:val="28"/>
          <w:szCs w:val="28"/>
        </w:rPr>
        <w:t>.0</w:t>
      </w:r>
      <w:r w:rsidR="00E027B6" w:rsidRPr="00C85EBB">
        <w:rPr>
          <w:rFonts w:ascii="Times New Roman" w:hAnsi="Times New Roman" w:cs="Times New Roman"/>
          <w:sz w:val="28"/>
          <w:szCs w:val="28"/>
        </w:rPr>
        <w:t>1</w:t>
      </w:r>
      <w:r w:rsidRPr="00C85EBB">
        <w:rPr>
          <w:rFonts w:ascii="Times New Roman" w:hAnsi="Times New Roman" w:cs="Times New Roman"/>
          <w:sz w:val="28"/>
          <w:szCs w:val="28"/>
        </w:rPr>
        <w:t xml:space="preserve">.2020, </w:t>
      </w:r>
      <w:r w:rsidR="00E027B6" w:rsidRPr="00C85EBB">
        <w:rPr>
          <w:rFonts w:ascii="Times New Roman" w:hAnsi="Times New Roman" w:cs="Times New Roman"/>
          <w:sz w:val="28"/>
          <w:szCs w:val="28"/>
        </w:rPr>
        <w:t>Підласа Р.А.</w:t>
      </w:r>
      <w:r w:rsidR="0001245D" w:rsidRPr="00C85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45D" w:rsidRPr="00C85EBB">
        <w:rPr>
          <w:rFonts w:ascii="Times New Roman" w:hAnsi="Times New Roman" w:cs="Times New Roman"/>
          <w:sz w:val="28"/>
          <w:szCs w:val="28"/>
        </w:rPr>
        <w:t>Фролов</w:t>
      </w:r>
      <w:proofErr w:type="spellEnd"/>
      <w:r w:rsidR="0001245D" w:rsidRPr="00C85EBB">
        <w:rPr>
          <w:rFonts w:ascii="Times New Roman" w:hAnsi="Times New Roman" w:cs="Times New Roman"/>
          <w:sz w:val="28"/>
          <w:szCs w:val="28"/>
        </w:rPr>
        <w:t xml:space="preserve"> П.В.</w:t>
      </w:r>
      <w:r w:rsidRPr="00C85EBB">
        <w:rPr>
          <w:rFonts w:ascii="Times New Roman" w:hAnsi="Times New Roman" w:cs="Times New Roman"/>
          <w:sz w:val="28"/>
          <w:szCs w:val="28"/>
        </w:rPr>
        <w:t>)</w:t>
      </w:r>
    </w:p>
    <w:p w:rsidR="00B86E61" w:rsidRPr="00C85EBB" w:rsidRDefault="00B86E61" w:rsidP="00F103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68B" w:rsidRPr="00C85EBB" w:rsidRDefault="00F7668B" w:rsidP="00F103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>1. Загальна характеристика законопроекту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Метою законопроекту є підвищення правової визначеності та ефективності  діяльності державної системи розвитку та захисту конкуренції. 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Прийняття законопроекту, як зазначено в пояснювальній записці до нього, дозволить: 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- забезпечити стрімкий розвиток державно-правових інститутів конкурентної політики і правозастосування шляхом покладення обов’язку розвитку конкуренції у соціально важливих галузях економіки, таких як енергетика, житлово-комунальне господарство, продукти харчування, ліки, транспорт, зв’язок на Кабінет Міністрів України та центральні органи виконавчої влади; 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- суттєво підвищити ефективність діяльності органів Антимонопольного комітету України як у центрі, так і на місцях, зокрема, щодо посилення зв’язку з </w:t>
      </w:r>
      <w:proofErr w:type="spellStart"/>
      <w:r w:rsidRPr="00C85EBB">
        <w:rPr>
          <w:rFonts w:ascii="Times New Roman" w:hAnsi="Times New Roman" w:cs="Times New Roman"/>
          <w:sz w:val="28"/>
          <w:szCs w:val="28"/>
        </w:rPr>
        <w:t>антиконкурентними</w:t>
      </w:r>
      <w:proofErr w:type="spellEnd"/>
      <w:r w:rsidRPr="00C85EBB">
        <w:rPr>
          <w:rFonts w:ascii="Times New Roman" w:hAnsi="Times New Roman" w:cs="Times New Roman"/>
          <w:sz w:val="28"/>
          <w:szCs w:val="28"/>
        </w:rPr>
        <w:t xml:space="preserve"> узгодженими діями та зловживання монопольним становищем внаслідок розвитку процесуальних засад  його діяльності; 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- запровадити в Україні такі процесуальні засоби виявлення та припинення порушення законодавства про захист економічної конкуренції як </w:t>
      </w:r>
      <w:proofErr w:type="spellStart"/>
      <w:r w:rsidRPr="00C85EBB">
        <w:rPr>
          <w:rFonts w:ascii="Times New Roman" w:hAnsi="Times New Roman" w:cs="Times New Roman"/>
          <w:sz w:val="28"/>
          <w:szCs w:val="28"/>
        </w:rPr>
        <w:t>leniency</w:t>
      </w:r>
      <w:proofErr w:type="spellEnd"/>
      <w:r w:rsidRPr="00C85E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EBB">
        <w:rPr>
          <w:rFonts w:ascii="Times New Roman" w:hAnsi="Times New Roman" w:cs="Times New Roman"/>
          <w:sz w:val="28"/>
          <w:szCs w:val="28"/>
        </w:rPr>
        <w:t>settlement</w:t>
      </w:r>
      <w:proofErr w:type="spellEnd"/>
      <w:r w:rsidRPr="00C85EB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>- захистити права та охоронювані законом інтереси бізнесу та масового споживача завдяки утворенню спеціалізованого суду з питань конкуренції та напрацюванню судової практики вирішення конкурентних спорів, зокрема щодо відшкодування збитків, завданих порушеннями законодавства про захист економічної конкуренції.</w:t>
      </w:r>
    </w:p>
    <w:p w:rsidR="0001245D" w:rsidRPr="00C85EBB" w:rsidRDefault="0001245D" w:rsidP="00012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68B" w:rsidRPr="00C85EBB" w:rsidRDefault="00F7668B" w:rsidP="00F103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>2. Належність законопроекту за предметом правового регулювання до сфери дії права Європейського Союзу</w:t>
      </w:r>
    </w:p>
    <w:p w:rsidR="00B87CF7" w:rsidRPr="00C85EBB" w:rsidRDefault="00F7668B" w:rsidP="00F103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BB">
        <w:rPr>
          <w:rFonts w:ascii="Times New Roman" w:hAnsi="Times New Roman" w:cs="Times New Roman"/>
          <w:sz w:val="28"/>
          <w:szCs w:val="28"/>
        </w:rPr>
        <w:t xml:space="preserve">Проект Закону за предметом правового регулювання </w:t>
      </w:r>
      <w:r w:rsidR="0005024F" w:rsidRPr="00C85EBB">
        <w:rPr>
          <w:rFonts w:ascii="Times New Roman" w:hAnsi="Times New Roman" w:cs="Times New Roman"/>
          <w:sz w:val="28"/>
          <w:szCs w:val="28"/>
        </w:rPr>
        <w:t xml:space="preserve">належить до сфери </w:t>
      </w:r>
      <w:r w:rsidR="00E027B6" w:rsidRPr="00C85EBB">
        <w:rPr>
          <w:rFonts w:ascii="Times New Roman" w:hAnsi="Times New Roman" w:cs="Times New Roman"/>
          <w:sz w:val="28"/>
          <w:szCs w:val="28"/>
        </w:rPr>
        <w:t>правил конкуренції</w:t>
      </w:r>
      <w:r w:rsidR="0005024F" w:rsidRPr="00C85EBB">
        <w:rPr>
          <w:rFonts w:ascii="Times New Roman" w:hAnsi="Times New Roman" w:cs="Times New Roman"/>
          <w:sz w:val="28"/>
          <w:szCs w:val="28"/>
        </w:rPr>
        <w:t xml:space="preserve">, що відповідно до Закону України «Про Загальнодержавну програму адаптації законодавства України до законодавства Європейського Союзу» від 18 березня 2004 року № 1629-IV належить до пріоритетних сфер, в яких здійснюється адаптація законодавства України до законодавства Європейського Союзу та охоплюється зобов’язаннями України передбаченими у </w:t>
      </w:r>
      <w:r w:rsidR="0005024F" w:rsidRPr="00C85EBB"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r w:rsidR="00CC0119" w:rsidRPr="00C85EBB">
        <w:rPr>
          <w:rFonts w:ascii="Times New Roman" w:hAnsi="Times New Roman" w:cs="Times New Roman"/>
          <w:sz w:val="28"/>
          <w:szCs w:val="28"/>
        </w:rPr>
        <w:t>Глави 1</w:t>
      </w:r>
      <w:r w:rsidR="00E027B6" w:rsidRPr="00C85EBB">
        <w:rPr>
          <w:rFonts w:ascii="Times New Roman" w:hAnsi="Times New Roman" w:cs="Times New Roman"/>
          <w:sz w:val="28"/>
          <w:szCs w:val="28"/>
        </w:rPr>
        <w:t>0</w:t>
      </w:r>
      <w:r w:rsidR="00CC0119" w:rsidRPr="00C85EBB">
        <w:rPr>
          <w:rFonts w:ascii="Times New Roman" w:hAnsi="Times New Roman" w:cs="Times New Roman"/>
          <w:sz w:val="28"/>
          <w:szCs w:val="28"/>
        </w:rPr>
        <w:t xml:space="preserve"> «</w:t>
      </w:r>
      <w:r w:rsidR="00E027B6" w:rsidRPr="00C85EBB">
        <w:rPr>
          <w:rFonts w:ascii="Times New Roman" w:hAnsi="Times New Roman" w:cs="Times New Roman"/>
          <w:sz w:val="28"/>
          <w:szCs w:val="28"/>
        </w:rPr>
        <w:t>Конкуренція</w:t>
      </w:r>
      <w:r w:rsidR="00CC0119" w:rsidRPr="00C85EBB">
        <w:rPr>
          <w:rFonts w:ascii="Times New Roman" w:hAnsi="Times New Roman" w:cs="Times New Roman"/>
          <w:sz w:val="28"/>
          <w:szCs w:val="28"/>
        </w:rPr>
        <w:t xml:space="preserve">» </w:t>
      </w:r>
      <w:r w:rsidR="00636F8F" w:rsidRPr="00C85EBB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37221D" w:rsidRPr="00C85EBB">
        <w:rPr>
          <w:rFonts w:ascii="Times New Roman" w:hAnsi="Times New Roman" w:cs="Times New Roman"/>
          <w:sz w:val="28"/>
          <w:szCs w:val="28"/>
        </w:rPr>
        <w:t>І</w:t>
      </w:r>
      <w:r w:rsidR="00636F8F" w:rsidRPr="00C85EBB">
        <w:rPr>
          <w:rFonts w:ascii="Times New Roman" w:hAnsi="Times New Roman" w:cs="Times New Roman"/>
          <w:sz w:val="28"/>
          <w:szCs w:val="28"/>
        </w:rPr>
        <w:t>V «</w:t>
      </w:r>
      <w:r w:rsidR="0037221D" w:rsidRPr="00C85EBB">
        <w:rPr>
          <w:rFonts w:ascii="Times New Roman" w:hAnsi="Times New Roman" w:cs="Times New Roman"/>
          <w:sz w:val="28"/>
          <w:szCs w:val="28"/>
        </w:rPr>
        <w:t>Торгівля і питання, пов’язані з торгівлею</w:t>
      </w:r>
      <w:r w:rsidR="00636F8F" w:rsidRPr="00C85EBB">
        <w:rPr>
          <w:rFonts w:ascii="Times New Roman" w:hAnsi="Times New Roman" w:cs="Times New Roman"/>
          <w:sz w:val="28"/>
          <w:szCs w:val="28"/>
        </w:rPr>
        <w:t xml:space="preserve">» </w:t>
      </w:r>
      <w:r w:rsidR="008D4F02" w:rsidRPr="00C85EBB">
        <w:rPr>
          <w:rFonts w:ascii="Times New Roman" w:hAnsi="Times New Roman" w:cs="Times New Roman"/>
          <w:sz w:val="28"/>
          <w:szCs w:val="28"/>
        </w:rPr>
        <w:t xml:space="preserve">Угоди </w:t>
      </w:r>
      <w:r w:rsidR="00285458" w:rsidRPr="00C85EBB">
        <w:rPr>
          <w:rFonts w:ascii="Times New Roman" w:hAnsi="Times New Roman" w:cs="Times New Roman"/>
          <w:sz w:val="28"/>
          <w:szCs w:val="28"/>
        </w:rPr>
        <w:t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8D4F02" w:rsidRPr="00C85EBB">
        <w:rPr>
          <w:rFonts w:ascii="Times New Roman" w:hAnsi="Times New Roman" w:cs="Times New Roman"/>
          <w:sz w:val="28"/>
          <w:szCs w:val="28"/>
        </w:rPr>
        <w:t xml:space="preserve"> (далі – Угода про асоціацію).</w:t>
      </w:r>
    </w:p>
    <w:p w:rsidR="004F5AE0" w:rsidRPr="00C85EBB" w:rsidRDefault="004F5AE0" w:rsidP="00F103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F02" w:rsidRPr="00C85EBB" w:rsidRDefault="008D4F02" w:rsidP="00F103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BB">
        <w:rPr>
          <w:rFonts w:ascii="Times New Roman" w:hAnsi="Times New Roman" w:cs="Times New Roman"/>
          <w:b/>
          <w:sz w:val="28"/>
          <w:szCs w:val="28"/>
        </w:rPr>
        <w:t>3. Відповідність законопроекту праву ЄС</w:t>
      </w:r>
    </w:p>
    <w:p w:rsidR="00956EE0" w:rsidRPr="00C85EBB" w:rsidRDefault="00956EE0" w:rsidP="00956EE0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Головними відмінностями даного законопроекту від законопроекту № 2730, є встановлення посадових окладів Голови Антимонопольного комітету України, державних уповноважених, працівників апарату і територіальних відділень АМКУ; </w:t>
      </w:r>
      <w:proofErr w:type="spellStart"/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уточнюються</w:t>
      </w:r>
      <w:proofErr w:type="spellEnd"/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типові вимоги до узгоджених дій; запроваджується надання АМКУ дозволу на здійснення концентрації земельних ділянок сільськогосподарського призначення.</w:t>
      </w:r>
    </w:p>
    <w:p w:rsidR="006C2167" w:rsidRPr="00C85EBB" w:rsidRDefault="006C2167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aquis</w:t>
      </w:r>
      <w:proofErr w:type="spellEnd"/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 та Угоді про асоціацію слід зазначити таке.</w:t>
      </w:r>
    </w:p>
    <w:p w:rsidR="00CC0119" w:rsidRPr="00C85EBB" w:rsidRDefault="00CC0119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положеннями статті </w:t>
      </w:r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255 Угоди про асоціацію, Україна та Сторона ЄС забезпечують застосування законодавства про конкуренцію, яке ефективно протидіє діям та операціям, зазначеним у статті 254</w:t>
      </w:r>
      <w:r w:rsidR="004B55FE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(a) (b) та (c).</w:t>
      </w:r>
    </w:p>
    <w:p w:rsidR="0037221D" w:rsidRPr="00C85EBB" w:rsidRDefault="00636F8F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</w:t>
      </w:r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 про асоціацію, </w:t>
      </w:r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Україна наближує своє законодавство про конкуренцію та практику застосування до </w:t>
      </w:r>
      <w:proofErr w:type="spellStart"/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acquis</w:t>
      </w:r>
      <w:proofErr w:type="spellEnd"/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ЄС, зокрема:  Регламенту Ради (ЄС) № 1/2003 від 16 грудня 2002 року про імплементацію правил конкуренції, викладених у статтях 81 та 82 Договору</w:t>
      </w:r>
      <w:r w:rsidR="00B747C4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(OJ L 1, 4.1.2003, p.1–25)</w:t>
      </w:r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Регламенту Ради (ЄС) №139/2004 від 20 січня 2004 року про контроль за концентрацією між підприємствами (Регламент ЄС про злиття)</w:t>
      </w:r>
      <w:r w:rsidR="00E52632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(OJ L 24, 29.1.2004, p. 1–22</w:t>
      </w:r>
      <w:r w:rsidR="0037221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632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7220F" w:rsidRPr="00C85EBB" w:rsidRDefault="0017220F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1/2003 прийнятий та ухвалений для імплементації положень статей 81 та 82 Договору, не перешкоджає державам-членам застосовувати на їх території національне законодавство, яке захищає інші законні інтереси за умови його відповідності до загальних принципів та інших положень права Співтовариства.</w:t>
      </w:r>
    </w:p>
    <w:p w:rsidR="0037221D" w:rsidRPr="00C85EBB" w:rsidRDefault="002F157E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проекту Закону щодо </w:t>
      </w:r>
      <w:r w:rsidR="004854D5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 органів з питань конкуренції</w:t>
      </w:r>
      <w:r w:rsidR="00075B3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4D5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виявлення наявності порушення та  їх припинення, </w:t>
      </w:r>
      <w:r w:rsidR="00075B3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запитів про надання інформації, повноважень приймати показання та проведення інспекцій, перевірки інших приміщень </w:t>
      </w:r>
      <w:r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кореспондуються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075B3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відповідними 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положеннями статей </w:t>
      </w:r>
      <w:r w:rsidR="004854D5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5B3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4D5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18-2</w:t>
      </w:r>
      <w:r w:rsidR="004854D5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1/2003</w:t>
      </w:r>
      <w:r w:rsidR="00C85EBB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статей 11, 12 Регламенту 139/2004.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2D42" w:rsidRPr="00C85EBB" w:rsidRDefault="004F2D42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застосування Регламенту 139/2004 визначено у відповідності із географічною територією діяльності учасників концентрації, та обмежено за допомогою кількісних гранични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показників з метою охоплення тільки тих концентрацій, які мають масштаб Співтовариства.</w:t>
      </w:r>
    </w:p>
    <w:p w:rsidR="00C85EBB" w:rsidRPr="00C85EBB" w:rsidRDefault="00C85EBB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42" w:rsidRPr="00C85EBB" w:rsidRDefault="00C85EBB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той же час, п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проекту Закону щодо визначення порогових значень до концентрації </w:t>
      </w:r>
      <w:r w:rsidR="00CD03A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(зміни до статті 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r w:rsidR="00CD03A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Закону України «Про захист економічної конкуренції») </w:t>
      </w:r>
      <w:r w:rsidR="00A37123"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врахову</w:t>
      </w:r>
      <w:r w:rsidR="00D53FBC"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ють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стат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A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  <w:r w:rsidR="00A37123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139/2004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37" w:rsidRPr="00C85EBB" w:rsidRDefault="00CD03A1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Додатково необхідно зазначити, </w:t>
      </w:r>
      <w:r w:rsidR="0060705D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 Верховної Ради України з питань правової політики дійшов висновку, </w:t>
      </w:r>
      <w:r w:rsidR="00956EE0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проект Закону про внесення змін до деяких законів України щодо </w:t>
      </w:r>
      <w:proofErr w:type="spellStart"/>
      <w:r w:rsidR="00956EE0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конкуренційно</w:t>
      </w:r>
      <w:proofErr w:type="spellEnd"/>
      <w:r w:rsidR="00956EE0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-антимонопольної реформи (реєстр. № 2730-2 від 31 січня 2020 року), поданий народними депутатами України Підласою Р.А. та Фроловим П.В., </w:t>
      </w:r>
      <w:r w:rsidR="00956EE0"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суперечить положенням Конституції України.</w:t>
      </w:r>
    </w:p>
    <w:p w:rsidR="00956EE0" w:rsidRPr="00C85EBB" w:rsidRDefault="00956EE0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7E" w:rsidRPr="00C85EBB" w:rsidRDefault="006F5D7E" w:rsidP="00F10337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огляду на зазначене, проект Закону </w:t>
      </w:r>
      <w:r w:rsidR="00367DDE"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суперечить</w:t>
      </w:r>
      <w:r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цілями Угоди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асоціацію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DDE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частині 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7C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розширення 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 Антимонопольного комітету України,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 не відповідає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положенням Регламенту № 139/2004 </w:t>
      </w:r>
      <w:r w:rsidR="00367DDE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підходів до встановлення по</w:t>
      </w:r>
      <w:r w:rsidR="00AA2241"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рогових значень до концентрацій</w:t>
      </w:r>
      <w:r w:rsidRPr="00C8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21D" w:rsidRPr="00C85EBB" w:rsidRDefault="0037221D" w:rsidP="00F103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37221D" w:rsidRPr="00C85EBB" w:rsidSect="009B6357">
      <w:headerReference w:type="default" r:id="rId8"/>
      <w:headerReference w:type="first" r:id="rId9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A6" w:rsidRDefault="005F53A6" w:rsidP="008A5974">
      <w:pPr>
        <w:spacing w:after="0" w:line="240" w:lineRule="auto"/>
      </w:pPr>
      <w:r>
        <w:separator/>
      </w:r>
    </w:p>
  </w:endnote>
  <w:endnote w:type="continuationSeparator" w:id="0">
    <w:p w:rsidR="005F53A6" w:rsidRDefault="005F53A6" w:rsidP="008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A6" w:rsidRDefault="005F53A6" w:rsidP="008A5974">
      <w:pPr>
        <w:spacing w:after="0" w:line="240" w:lineRule="auto"/>
      </w:pPr>
      <w:r>
        <w:separator/>
      </w:r>
    </w:p>
  </w:footnote>
  <w:footnote w:type="continuationSeparator" w:id="0">
    <w:p w:rsidR="005F53A6" w:rsidRDefault="005F53A6" w:rsidP="008A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74805"/>
      <w:docPartObj>
        <w:docPartGallery w:val="Page Numbers (Top of Page)"/>
        <w:docPartUnique/>
      </w:docPartObj>
    </w:sdtPr>
    <w:sdtEndPr/>
    <w:sdtContent>
      <w:p w:rsidR="008A5974" w:rsidRDefault="008A59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57">
          <w:rPr>
            <w:noProof/>
          </w:rPr>
          <w:t>2</w:t>
        </w:r>
        <w:r>
          <w:fldChar w:fldCharType="end"/>
        </w:r>
      </w:p>
    </w:sdtContent>
  </w:sdt>
  <w:p w:rsidR="008A5974" w:rsidRDefault="008A59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62" w:rsidRPr="004E0F28" w:rsidRDefault="00DC3562" w:rsidP="00DC3562">
    <w:pPr>
      <w:pStyle w:val="a4"/>
      <w:jc w:val="right"/>
      <w:rPr>
        <w:rFonts w:ascii="Times New Roman" w:hAnsi="Times New Roman" w:cs="Times New Roman"/>
        <w:b/>
        <w:color w:val="FF0000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65C"/>
    <w:multiLevelType w:val="hybridMultilevel"/>
    <w:tmpl w:val="33B4C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24A9"/>
    <w:multiLevelType w:val="hybridMultilevel"/>
    <w:tmpl w:val="581CA774"/>
    <w:lvl w:ilvl="0" w:tplc="CA64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25FA0"/>
    <w:multiLevelType w:val="hybridMultilevel"/>
    <w:tmpl w:val="02168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1F3"/>
    <w:multiLevelType w:val="hybridMultilevel"/>
    <w:tmpl w:val="91F86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2D3"/>
    <w:multiLevelType w:val="hybridMultilevel"/>
    <w:tmpl w:val="B9CC6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594F"/>
    <w:multiLevelType w:val="hybridMultilevel"/>
    <w:tmpl w:val="412A6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B"/>
    <w:rsid w:val="0001245D"/>
    <w:rsid w:val="00034886"/>
    <w:rsid w:val="000350A4"/>
    <w:rsid w:val="000404FC"/>
    <w:rsid w:val="00042672"/>
    <w:rsid w:val="00045A57"/>
    <w:rsid w:val="0005024F"/>
    <w:rsid w:val="00072B0D"/>
    <w:rsid w:val="00075B31"/>
    <w:rsid w:val="00080CA9"/>
    <w:rsid w:val="00090188"/>
    <w:rsid w:val="0009456C"/>
    <w:rsid w:val="000C2FCA"/>
    <w:rsid w:val="000C300B"/>
    <w:rsid w:val="000E3FE0"/>
    <w:rsid w:val="000F4CFF"/>
    <w:rsid w:val="00105F68"/>
    <w:rsid w:val="0011284D"/>
    <w:rsid w:val="00125B17"/>
    <w:rsid w:val="0012685C"/>
    <w:rsid w:val="001420B5"/>
    <w:rsid w:val="00163777"/>
    <w:rsid w:val="00165313"/>
    <w:rsid w:val="0017220F"/>
    <w:rsid w:val="00186931"/>
    <w:rsid w:val="001879F1"/>
    <w:rsid w:val="00196CBA"/>
    <w:rsid w:val="001B1E02"/>
    <w:rsid w:val="001D201A"/>
    <w:rsid w:val="001D2E18"/>
    <w:rsid w:val="001D76B2"/>
    <w:rsid w:val="001E5D0B"/>
    <w:rsid w:val="001F6E5A"/>
    <w:rsid w:val="00206CB5"/>
    <w:rsid w:val="0022520C"/>
    <w:rsid w:val="00267C06"/>
    <w:rsid w:val="00285458"/>
    <w:rsid w:val="00286886"/>
    <w:rsid w:val="00293717"/>
    <w:rsid w:val="00293F12"/>
    <w:rsid w:val="0029766D"/>
    <w:rsid w:val="002A6059"/>
    <w:rsid w:val="002B446C"/>
    <w:rsid w:val="002F157E"/>
    <w:rsid w:val="003126AB"/>
    <w:rsid w:val="00325678"/>
    <w:rsid w:val="003417C7"/>
    <w:rsid w:val="00350988"/>
    <w:rsid w:val="00356995"/>
    <w:rsid w:val="00367DDE"/>
    <w:rsid w:val="0037221D"/>
    <w:rsid w:val="00384409"/>
    <w:rsid w:val="003C45CB"/>
    <w:rsid w:val="003D5517"/>
    <w:rsid w:val="00402CFB"/>
    <w:rsid w:val="00410F0A"/>
    <w:rsid w:val="00413BD5"/>
    <w:rsid w:val="00415CE7"/>
    <w:rsid w:val="00416D33"/>
    <w:rsid w:val="004206E5"/>
    <w:rsid w:val="00431C11"/>
    <w:rsid w:val="00433932"/>
    <w:rsid w:val="00435151"/>
    <w:rsid w:val="00451257"/>
    <w:rsid w:val="004854D5"/>
    <w:rsid w:val="00490B8F"/>
    <w:rsid w:val="00494C5F"/>
    <w:rsid w:val="00496036"/>
    <w:rsid w:val="00497BA2"/>
    <w:rsid w:val="004A0A08"/>
    <w:rsid w:val="004A41FC"/>
    <w:rsid w:val="004B1B79"/>
    <w:rsid w:val="004B55FE"/>
    <w:rsid w:val="004D01D8"/>
    <w:rsid w:val="004E0F28"/>
    <w:rsid w:val="004F2D42"/>
    <w:rsid w:val="004F5AE0"/>
    <w:rsid w:val="00511ADD"/>
    <w:rsid w:val="005438EA"/>
    <w:rsid w:val="00547EF0"/>
    <w:rsid w:val="00554E16"/>
    <w:rsid w:val="00567F82"/>
    <w:rsid w:val="00570D77"/>
    <w:rsid w:val="0057278A"/>
    <w:rsid w:val="00586CFC"/>
    <w:rsid w:val="005B0639"/>
    <w:rsid w:val="005B2BAB"/>
    <w:rsid w:val="005B68B1"/>
    <w:rsid w:val="005C03B2"/>
    <w:rsid w:val="005C190D"/>
    <w:rsid w:val="005D27FB"/>
    <w:rsid w:val="005D2EE4"/>
    <w:rsid w:val="005F53A6"/>
    <w:rsid w:val="0060705D"/>
    <w:rsid w:val="00636F8F"/>
    <w:rsid w:val="00653AA5"/>
    <w:rsid w:val="0069769A"/>
    <w:rsid w:val="006C2167"/>
    <w:rsid w:val="006C2B2F"/>
    <w:rsid w:val="006C4225"/>
    <w:rsid w:val="006D7C09"/>
    <w:rsid w:val="006E6EC5"/>
    <w:rsid w:val="006F5D7E"/>
    <w:rsid w:val="006F7145"/>
    <w:rsid w:val="007049A1"/>
    <w:rsid w:val="007228F7"/>
    <w:rsid w:val="00734556"/>
    <w:rsid w:val="00734ED3"/>
    <w:rsid w:val="007358FA"/>
    <w:rsid w:val="00764E7A"/>
    <w:rsid w:val="00771477"/>
    <w:rsid w:val="00796CB2"/>
    <w:rsid w:val="007A3A08"/>
    <w:rsid w:val="007B14F8"/>
    <w:rsid w:val="007B6324"/>
    <w:rsid w:val="007D00D9"/>
    <w:rsid w:val="007F55E4"/>
    <w:rsid w:val="00803A4B"/>
    <w:rsid w:val="00814D5E"/>
    <w:rsid w:val="008459D2"/>
    <w:rsid w:val="00853550"/>
    <w:rsid w:val="0085361C"/>
    <w:rsid w:val="008752B8"/>
    <w:rsid w:val="008814BE"/>
    <w:rsid w:val="008827CB"/>
    <w:rsid w:val="00883AFA"/>
    <w:rsid w:val="00885926"/>
    <w:rsid w:val="00896EBE"/>
    <w:rsid w:val="008A5974"/>
    <w:rsid w:val="008B0FBE"/>
    <w:rsid w:val="008B4546"/>
    <w:rsid w:val="008D4F02"/>
    <w:rsid w:val="008D72CA"/>
    <w:rsid w:val="008E0E58"/>
    <w:rsid w:val="00911615"/>
    <w:rsid w:val="00920C62"/>
    <w:rsid w:val="00924188"/>
    <w:rsid w:val="00941198"/>
    <w:rsid w:val="0094324E"/>
    <w:rsid w:val="00956EE0"/>
    <w:rsid w:val="0098362C"/>
    <w:rsid w:val="009852A5"/>
    <w:rsid w:val="00986249"/>
    <w:rsid w:val="0099407D"/>
    <w:rsid w:val="00995F48"/>
    <w:rsid w:val="009B6357"/>
    <w:rsid w:val="009C7921"/>
    <w:rsid w:val="00A0600B"/>
    <w:rsid w:val="00A16A98"/>
    <w:rsid w:val="00A3074E"/>
    <w:rsid w:val="00A37123"/>
    <w:rsid w:val="00A45BEF"/>
    <w:rsid w:val="00A524E0"/>
    <w:rsid w:val="00A65EB1"/>
    <w:rsid w:val="00A73C29"/>
    <w:rsid w:val="00A95F1F"/>
    <w:rsid w:val="00AA2241"/>
    <w:rsid w:val="00AA6462"/>
    <w:rsid w:val="00AB6C2D"/>
    <w:rsid w:val="00AC0198"/>
    <w:rsid w:val="00AE2157"/>
    <w:rsid w:val="00AF565B"/>
    <w:rsid w:val="00B23919"/>
    <w:rsid w:val="00B31C5C"/>
    <w:rsid w:val="00B454BD"/>
    <w:rsid w:val="00B46A8D"/>
    <w:rsid w:val="00B535F9"/>
    <w:rsid w:val="00B60A86"/>
    <w:rsid w:val="00B633F7"/>
    <w:rsid w:val="00B6384B"/>
    <w:rsid w:val="00B71F50"/>
    <w:rsid w:val="00B747C4"/>
    <w:rsid w:val="00B75C66"/>
    <w:rsid w:val="00B776FD"/>
    <w:rsid w:val="00B86E61"/>
    <w:rsid w:val="00B87CF7"/>
    <w:rsid w:val="00B91FE6"/>
    <w:rsid w:val="00B96D39"/>
    <w:rsid w:val="00BA388A"/>
    <w:rsid w:val="00BB6CF7"/>
    <w:rsid w:val="00BC6A15"/>
    <w:rsid w:val="00BC7F35"/>
    <w:rsid w:val="00BD5E97"/>
    <w:rsid w:val="00BE78E2"/>
    <w:rsid w:val="00BF3F47"/>
    <w:rsid w:val="00C02AD1"/>
    <w:rsid w:val="00C07748"/>
    <w:rsid w:val="00C102E5"/>
    <w:rsid w:val="00C20112"/>
    <w:rsid w:val="00C42C06"/>
    <w:rsid w:val="00C66647"/>
    <w:rsid w:val="00C7589D"/>
    <w:rsid w:val="00C819E2"/>
    <w:rsid w:val="00C85EBB"/>
    <w:rsid w:val="00C876E5"/>
    <w:rsid w:val="00C932C3"/>
    <w:rsid w:val="00CA56D2"/>
    <w:rsid w:val="00CA71F6"/>
    <w:rsid w:val="00CC0119"/>
    <w:rsid w:val="00CC1CCB"/>
    <w:rsid w:val="00CD03A1"/>
    <w:rsid w:val="00D11F8F"/>
    <w:rsid w:val="00D16651"/>
    <w:rsid w:val="00D22764"/>
    <w:rsid w:val="00D35788"/>
    <w:rsid w:val="00D4227F"/>
    <w:rsid w:val="00D53FBC"/>
    <w:rsid w:val="00D74E14"/>
    <w:rsid w:val="00D862AD"/>
    <w:rsid w:val="00D864F4"/>
    <w:rsid w:val="00DA248B"/>
    <w:rsid w:val="00DC01DB"/>
    <w:rsid w:val="00DC0698"/>
    <w:rsid w:val="00DC3562"/>
    <w:rsid w:val="00DE468F"/>
    <w:rsid w:val="00DF0B32"/>
    <w:rsid w:val="00E027B6"/>
    <w:rsid w:val="00E11FF0"/>
    <w:rsid w:val="00E15EF0"/>
    <w:rsid w:val="00E263CB"/>
    <w:rsid w:val="00E354E4"/>
    <w:rsid w:val="00E36F56"/>
    <w:rsid w:val="00E52632"/>
    <w:rsid w:val="00E60689"/>
    <w:rsid w:val="00E72D79"/>
    <w:rsid w:val="00E96506"/>
    <w:rsid w:val="00EB020E"/>
    <w:rsid w:val="00EB08B9"/>
    <w:rsid w:val="00EE51C6"/>
    <w:rsid w:val="00F076B3"/>
    <w:rsid w:val="00F10337"/>
    <w:rsid w:val="00F13D03"/>
    <w:rsid w:val="00F25E85"/>
    <w:rsid w:val="00F35686"/>
    <w:rsid w:val="00F556A3"/>
    <w:rsid w:val="00F627AD"/>
    <w:rsid w:val="00F65A2E"/>
    <w:rsid w:val="00F676FD"/>
    <w:rsid w:val="00F7069D"/>
    <w:rsid w:val="00F7668B"/>
    <w:rsid w:val="00F84676"/>
    <w:rsid w:val="00F90955"/>
    <w:rsid w:val="00F94EBE"/>
    <w:rsid w:val="00FD0583"/>
    <w:rsid w:val="00FD7DEA"/>
    <w:rsid w:val="00FE03CA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6F01"/>
  <w15:chartTrackingRefBased/>
  <w15:docId w15:val="{68344BA7-B535-4EE4-AECF-5165F3C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5974"/>
  </w:style>
  <w:style w:type="paragraph" w:styleId="a6">
    <w:name w:val="footer"/>
    <w:basedOn w:val="a"/>
    <w:link w:val="a7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5974"/>
  </w:style>
  <w:style w:type="paragraph" w:styleId="a8">
    <w:name w:val="Balloon Text"/>
    <w:basedOn w:val="a"/>
    <w:link w:val="a9"/>
    <w:uiPriority w:val="99"/>
    <w:semiHidden/>
    <w:unhideWhenUsed/>
    <w:rsid w:val="0073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358F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877D-0567-4C9D-8D28-1002DD4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3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Кирило Геннадійович</dc:creator>
  <cp:keywords/>
  <dc:description/>
  <cp:lastModifiedBy>Шевчук Кирило Геннадійович</cp:lastModifiedBy>
  <cp:revision>94</cp:revision>
  <cp:lastPrinted>2020-03-23T07:24:00Z</cp:lastPrinted>
  <dcterms:created xsi:type="dcterms:W3CDTF">2020-03-23T08:04:00Z</dcterms:created>
  <dcterms:modified xsi:type="dcterms:W3CDTF">2020-05-15T12:00:00Z</dcterms:modified>
</cp:coreProperties>
</file>