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06" w:rsidRDefault="00F14406">
      <w:pPr>
        <w:pStyle w:val="Standard"/>
        <w:jc w:val="right"/>
        <w:rPr>
          <w:szCs w:val="28"/>
        </w:rPr>
      </w:pPr>
    </w:p>
    <w:p w:rsidR="00F14406" w:rsidRDefault="00F14406">
      <w:pPr>
        <w:pStyle w:val="Standard"/>
        <w:jc w:val="right"/>
        <w:rPr>
          <w:szCs w:val="28"/>
        </w:rPr>
      </w:pPr>
    </w:p>
    <w:p w:rsidR="00F14406" w:rsidRDefault="00F14406">
      <w:pPr>
        <w:pStyle w:val="Standard"/>
        <w:jc w:val="right"/>
        <w:rPr>
          <w:szCs w:val="28"/>
        </w:rPr>
      </w:pPr>
    </w:p>
    <w:p w:rsidR="00F14406" w:rsidRDefault="00F14406">
      <w:pPr>
        <w:pStyle w:val="Standard"/>
        <w:jc w:val="right"/>
        <w:rPr>
          <w:szCs w:val="28"/>
        </w:rPr>
      </w:pPr>
    </w:p>
    <w:p w:rsidR="00F14406" w:rsidRDefault="00F14406">
      <w:pPr>
        <w:pStyle w:val="Standard"/>
        <w:jc w:val="right"/>
        <w:rPr>
          <w:szCs w:val="28"/>
        </w:rPr>
      </w:pPr>
    </w:p>
    <w:p w:rsidR="00F14406" w:rsidRDefault="00F14406">
      <w:pPr>
        <w:pStyle w:val="Standard"/>
        <w:jc w:val="right"/>
        <w:rPr>
          <w:szCs w:val="28"/>
        </w:rPr>
      </w:pPr>
    </w:p>
    <w:p w:rsidR="00F14406" w:rsidRDefault="00F14406">
      <w:pPr>
        <w:pStyle w:val="Standard"/>
        <w:jc w:val="right"/>
        <w:rPr>
          <w:szCs w:val="28"/>
        </w:rPr>
      </w:pPr>
    </w:p>
    <w:p w:rsidR="00F14406" w:rsidRDefault="00F14406">
      <w:pPr>
        <w:pStyle w:val="Standard"/>
        <w:jc w:val="right"/>
        <w:rPr>
          <w:szCs w:val="28"/>
        </w:rPr>
      </w:pPr>
    </w:p>
    <w:p w:rsidR="00F14406" w:rsidRDefault="00F14406">
      <w:pPr>
        <w:pStyle w:val="Standard"/>
        <w:jc w:val="right"/>
        <w:rPr>
          <w:szCs w:val="28"/>
        </w:rPr>
      </w:pPr>
    </w:p>
    <w:p w:rsidR="00F14406" w:rsidRDefault="00572A84">
      <w:pPr>
        <w:pStyle w:val="Standard"/>
        <w:jc w:val="center"/>
      </w:pPr>
      <w:r>
        <w:rPr>
          <w:rStyle w:val="a3"/>
          <w:rFonts w:cs="Times New Roman"/>
          <w:sz w:val="28"/>
          <w:szCs w:val="28"/>
        </w:rPr>
        <w:t>ВИСНОВОК</w:t>
      </w:r>
    </w:p>
    <w:p w:rsidR="00572A84" w:rsidRDefault="00572A84">
      <w:pPr>
        <w:pStyle w:val="Standard"/>
        <w:jc w:val="center"/>
        <w:rPr>
          <w:rStyle w:val="a3"/>
          <w:rFonts w:cs="Times New Roman"/>
          <w:bCs/>
          <w:color w:val="000000"/>
          <w:sz w:val="28"/>
          <w:szCs w:val="28"/>
          <w:lang w:eastAsia="ru-RU"/>
        </w:rPr>
      </w:pPr>
      <w:r>
        <w:rPr>
          <w:rStyle w:val="a3"/>
          <w:rFonts w:cs="Times New Roman"/>
          <w:bCs/>
          <w:sz w:val="28"/>
          <w:szCs w:val="28"/>
        </w:rPr>
        <w:t xml:space="preserve">на проект Закону України </w:t>
      </w:r>
      <w:r>
        <w:rPr>
          <w:rStyle w:val="a3"/>
          <w:rFonts w:cs="Times New Roman"/>
          <w:bCs/>
          <w:color w:val="000000"/>
          <w:sz w:val="28"/>
          <w:szCs w:val="28"/>
          <w:lang w:eastAsia="ru-RU"/>
        </w:rPr>
        <w:t xml:space="preserve">«Про внесення змін до  деяких </w:t>
      </w:r>
    </w:p>
    <w:p w:rsidR="00F14406" w:rsidRDefault="00572A84">
      <w:pPr>
        <w:pStyle w:val="Standard"/>
        <w:jc w:val="center"/>
      </w:pPr>
      <w:bookmarkStart w:id="0" w:name="_GoBack"/>
      <w:bookmarkEnd w:id="0"/>
      <w:r>
        <w:rPr>
          <w:rStyle w:val="a3"/>
          <w:rFonts w:cs="Times New Roman"/>
          <w:bCs/>
          <w:color w:val="000000"/>
          <w:sz w:val="28"/>
          <w:szCs w:val="28"/>
          <w:lang w:eastAsia="ru-RU"/>
        </w:rPr>
        <w:t>законів України щодо ціноутворення та тарифів на електричну енергію</w:t>
      </w:r>
    </w:p>
    <w:p w:rsidR="00F14406" w:rsidRDefault="00572A84">
      <w:pPr>
        <w:pStyle w:val="Standard"/>
        <w:jc w:val="center"/>
      </w:pPr>
      <w:r>
        <w:rPr>
          <w:rStyle w:val="a3"/>
          <w:rFonts w:cs="Times New Roman"/>
          <w:bCs/>
          <w:color w:val="000000"/>
          <w:sz w:val="28"/>
          <w:szCs w:val="28"/>
          <w:lang w:eastAsia="ru-RU"/>
        </w:rPr>
        <w:t xml:space="preserve">для споживачів, які постійно проживають у зоні спостереження </w:t>
      </w:r>
    </w:p>
    <w:p w:rsidR="00F14406" w:rsidRDefault="00572A84">
      <w:pPr>
        <w:pStyle w:val="Standard"/>
        <w:jc w:val="center"/>
      </w:pPr>
      <w:r>
        <w:rPr>
          <w:rStyle w:val="a3"/>
          <w:rFonts w:cs="Times New Roman"/>
          <w:bCs/>
          <w:color w:val="000000"/>
          <w:sz w:val="28"/>
          <w:szCs w:val="28"/>
          <w:lang w:eastAsia="ru-RU"/>
        </w:rPr>
        <w:t>атомних електростанцій»</w:t>
      </w:r>
    </w:p>
    <w:p w:rsidR="00F14406" w:rsidRDefault="00F14406">
      <w:pPr>
        <w:pStyle w:val="Standard"/>
        <w:ind w:firstLine="708"/>
        <w:jc w:val="both"/>
      </w:pPr>
    </w:p>
    <w:p w:rsidR="00F14406" w:rsidRDefault="00572A84">
      <w:pPr>
        <w:pStyle w:val="Standard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szCs w:val="28"/>
        </w:rPr>
        <w:t xml:space="preserve">У законопроекті шляхом внесення змін до законів України </w:t>
      </w:r>
      <w:r>
        <w:rPr>
          <w:rStyle w:val="a3"/>
          <w:rFonts w:cs="Times New Roman"/>
          <w:b w:val="0"/>
          <w:color w:val="000000"/>
          <w:sz w:val="28"/>
          <w:szCs w:val="28"/>
          <w:lang w:eastAsia="ru-RU"/>
        </w:rPr>
        <w:t xml:space="preserve">«Про ринок електричної енергії», </w:t>
      </w:r>
      <w:r>
        <w:rPr>
          <w:rStyle w:val="rvts9"/>
          <w:color w:val="000000"/>
          <w:szCs w:val="28"/>
          <w:shd w:val="clear" w:color="auto" w:fill="FFFFFF"/>
        </w:rPr>
        <w:t>«</w:t>
      </w:r>
      <w:r>
        <w:rPr>
          <w:szCs w:val="28"/>
        </w:rPr>
        <w:t>Про використання ядерної енергетики та радіаційну безпеку» пропонується</w:t>
      </w:r>
      <w:r>
        <w:rPr>
          <w:rStyle w:val="a3"/>
          <w:rFonts w:cs="Times New Roman"/>
          <w:b w:val="0"/>
          <w:color w:val="000000"/>
          <w:sz w:val="28"/>
          <w:szCs w:val="28"/>
          <w:lang w:eastAsia="ru-RU"/>
        </w:rPr>
        <w:t xml:space="preserve"> встановити, що </w:t>
      </w:r>
      <w:r>
        <w:rPr>
          <w:szCs w:val="28"/>
        </w:rPr>
        <w:t>ціни (тарифи) на універсальні послуги для побутових споживачів, які постійно пр</w:t>
      </w:r>
      <w:r>
        <w:rPr>
          <w:szCs w:val="28"/>
        </w:rPr>
        <w:t>оживають у зоні спостереження, проте не менше ніж 30-кілометровій зоні атомних станцій, встановлюються у розмірі 70 відсотків діючого тарифу для відповідної групи населення, а постачальники універсальних п</w:t>
      </w:r>
      <w:r>
        <w:rPr>
          <w:color w:val="000000"/>
          <w:szCs w:val="28"/>
          <w:lang w:eastAsia="ru-RU"/>
        </w:rPr>
        <w:t>ослуг мають право отри</w:t>
      </w:r>
      <w:hyperlink r:id="rId7" w:anchor="n1138" w:history="1">
        <w:r w:rsidRPr="000969E6">
          <w:rPr>
            <w:rStyle w:val="InternetLink0"/>
            <w:color w:val="000000" w:themeColor="text1"/>
            <w:szCs w:val="28"/>
            <w:u w:val="none"/>
            <w:lang w:eastAsia="ru-RU"/>
          </w:rPr>
          <w:t>мувати ком</w:t>
        </w:r>
      </w:hyperlink>
      <w:r>
        <w:rPr>
          <w:color w:val="000000"/>
          <w:szCs w:val="28"/>
          <w:lang w:eastAsia="ru-RU"/>
        </w:rPr>
        <w:t>пенсацію витрат на</w:t>
      </w:r>
      <w:r>
        <w:rPr>
          <w:szCs w:val="28"/>
        </w:rPr>
        <w:t xml:space="preserve"> надання універсальних послуг для вказаної категорії споживачів.</w:t>
      </w:r>
    </w:p>
    <w:p w:rsidR="00F14406" w:rsidRDefault="00572A84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Законопроект, як зазначається у пояснювальній записці до нього, спрямований на </w:t>
      </w:r>
      <w:r>
        <w:rPr>
          <w:szCs w:val="28"/>
          <w:lang w:eastAsia="uk-UA"/>
        </w:rPr>
        <w:t>забезпечення «на законодавчому рівні механіз</w:t>
      </w:r>
      <w:r>
        <w:rPr>
          <w:szCs w:val="28"/>
          <w:lang w:eastAsia="uk-UA"/>
        </w:rPr>
        <w:t xml:space="preserve">му реалізації права </w:t>
      </w:r>
      <w:r>
        <w:rPr>
          <w:bCs/>
          <w:color w:val="000000"/>
          <w:szCs w:val="28"/>
          <w:lang w:eastAsia="ru-RU"/>
        </w:rPr>
        <w:t>споживачів електроенергії, які постійно проживають у 30-кілометровій зоні атомних електростанцій та зоні спостереження», «</w:t>
      </w:r>
      <w:r>
        <w:rPr>
          <w:szCs w:val="28"/>
        </w:rPr>
        <w:t xml:space="preserve">юридичної визначеності, ясності і недвозначності правових норм, усунення юридичних колізій».  </w:t>
      </w:r>
    </w:p>
    <w:p w:rsidR="00F14406" w:rsidRDefault="00572A84">
      <w:pPr>
        <w:pStyle w:val="Standard"/>
        <w:ind w:firstLine="709"/>
        <w:jc w:val="both"/>
      </w:pPr>
      <w:r>
        <w:rPr>
          <w:szCs w:val="28"/>
        </w:rPr>
        <w:t>Головне управління,</w:t>
      </w:r>
      <w:r>
        <w:rPr>
          <w:szCs w:val="28"/>
        </w:rPr>
        <w:t xml:space="preserve"> розглянувши законопроект та в цілому поділяючи його спрямованість на узгодження положень законодавчих актів, що регулюють питання соціально-економічної компенсації ризику населення, яке проживає у зоні спостереження, зокрема, у частині пільг з оплати за с</w:t>
      </w:r>
      <w:r>
        <w:rPr>
          <w:szCs w:val="28"/>
        </w:rPr>
        <w:t>пожиту електроенергію, одночасно вважає за доцільне зауважити таке.</w:t>
      </w:r>
    </w:p>
    <w:p w:rsidR="00F14406" w:rsidRDefault="00572A84">
      <w:pPr>
        <w:pStyle w:val="Standard"/>
        <w:ind w:firstLine="708"/>
        <w:jc w:val="both"/>
      </w:pPr>
      <w:r>
        <w:rPr>
          <w:rStyle w:val="a3"/>
          <w:rFonts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нашу думку, доповнення у пропонованому вигляді ч. 1 ст. 7 Закону України «Про ринок електричної енергії» новим п. 6-1, відповідно до якого «</w:t>
      </w:r>
      <w:r>
        <w:t xml:space="preserve">ціни (тарифи) на універсальні послуги для побутових споживачів, які постійно проживають у зоні спостереження, проте не менше ніж </w:t>
      </w:r>
      <w:r>
        <w:br/>
        <w:t xml:space="preserve">30-кілометровій зоні атомних електростанцій, встановлюються у розмірі </w:t>
      </w:r>
      <w:r>
        <w:br/>
        <w:t>70 відсотків діючого тарифу для відповідної групи насел</w:t>
      </w:r>
      <w:r>
        <w:t>ення», є некоректним, оскільки:</w:t>
      </w:r>
    </w:p>
    <w:p w:rsidR="00F14406" w:rsidRDefault="00572A84">
      <w:pPr>
        <w:pStyle w:val="Standard"/>
        <w:ind w:firstLine="708"/>
        <w:jc w:val="both"/>
      </w:pPr>
      <w:r>
        <w:lastRenderedPageBreak/>
        <w:t xml:space="preserve">по-перше, </w:t>
      </w:r>
      <w:r>
        <w:rPr>
          <w:szCs w:val="28"/>
        </w:rPr>
        <w:t xml:space="preserve">вищенаведені </w:t>
      </w: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ціни (тарифи) на універсальні послуги для зазначеної категорії побутових споживачів включаються в категорію цін (тарифів) на послуги постачальника універсальних послуг, державне регулювання яких уже пе</w:t>
      </w: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редбачено п. 5 ч. 1 ст. 7 цього Закону;</w:t>
      </w:r>
    </w:p>
    <w:p w:rsidR="00F14406" w:rsidRDefault="00572A84">
      <w:pPr>
        <w:pStyle w:val="Standard"/>
        <w:ind w:firstLine="708"/>
        <w:jc w:val="both"/>
      </w:pP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по-друге, визначення розміру цін (тарифів) на такі універсальні послуги, як пропонується законопроектом, – «у розмірі 70 відсотків діючого тарифу для відповідної групи населення», не належить до предмету правового ре</w:t>
      </w: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гулювання ч. 1 ст. 7 цього Закону, в якій визначається лише перелік цін (тарифів), які підлягають державному регулюванню на ринку електричної енергії.</w:t>
      </w:r>
    </w:p>
    <w:p w:rsidR="00F14406" w:rsidRDefault="00572A84">
      <w:pPr>
        <w:pStyle w:val="Standard"/>
        <w:ind w:firstLine="708"/>
        <w:jc w:val="both"/>
        <w:rPr>
          <w:rStyle w:val="rvts23"/>
          <w:b w:val="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Пропозиція щодо поширення державного регулювання цін на «</w:t>
      </w:r>
      <w:r>
        <w:rPr>
          <w:szCs w:val="28"/>
        </w:rPr>
        <w:t>ціни (тарифи) на універсальні послуги для поб</w:t>
      </w:r>
      <w:r>
        <w:rPr>
          <w:szCs w:val="28"/>
        </w:rPr>
        <w:t>утових споживачів, які постійно проживають у зоні спостереження, проте не менше ніж 30-кілометровій зоні атомних станцій» (замість т</w:t>
      </w:r>
      <w:r>
        <w:rPr>
          <w:rStyle w:val="rvts0"/>
        </w:rPr>
        <w:t>арифу на електроенергію для побутових споживачів, які постійно проживають у 30-кілометровій зоні атомних електростанцій, у з</w:t>
      </w:r>
      <w:r>
        <w:rPr>
          <w:rStyle w:val="rvts0"/>
        </w:rPr>
        <w:t xml:space="preserve">в’язку із чим кількість пільговиків, а, отже, і обсяг фінансування відповідних пільг, вочевидь, зростуть) потребує належного фінансово-економічного обґрунтування (включаючи відповідні розрахунки), актуальність якого, серед іншого, зростає в умовах </w:t>
      </w:r>
      <w:r>
        <w:rPr>
          <w:szCs w:val="28"/>
        </w:rPr>
        <w:t>поточної</w:t>
      </w:r>
      <w:r>
        <w:rPr>
          <w:szCs w:val="28"/>
        </w:rPr>
        <w:t xml:space="preserve"> ситуації, що склалася в Україні у зв’язку з</w:t>
      </w:r>
      <w:r>
        <w:rPr>
          <w:b/>
          <w:szCs w:val="28"/>
        </w:rPr>
        <w:t xml:space="preserve"> </w:t>
      </w:r>
      <w:r>
        <w:rPr>
          <w:rStyle w:val="rvts23"/>
          <w:b w:val="0"/>
          <w:sz w:val="28"/>
          <w:szCs w:val="28"/>
        </w:rPr>
        <w:t xml:space="preserve">виникненням та поширенням </w:t>
      </w:r>
      <w:proofErr w:type="spellStart"/>
      <w:r>
        <w:rPr>
          <w:rStyle w:val="rvts23"/>
          <w:b w:val="0"/>
          <w:sz w:val="28"/>
          <w:szCs w:val="28"/>
        </w:rPr>
        <w:t>коронавірусної</w:t>
      </w:r>
      <w:proofErr w:type="spellEnd"/>
      <w:r>
        <w:rPr>
          <w:rStyle w:val="rvts23"/>
          <w:b w:val="0"/>
          <w:sz w:val="28"/>
          <w:szCs w:val="28"/>
        </w:rPr>
        <w:t xml:space="preserve"> хвороби (COVID-19), яка загалом негативно позначається на фінансовій системі країни загалом та державних фінансах, а також спроможності державного бюджету щодо здійснення</w:t>
      </w:r>
      <w:r>
        <w:rPr>
          <w:rStyle w:val="rvts23"/>
          <w:b w:val="0"/>
          <w:sz w:val="28"/>
          <w:szCs w:val="28"/>
        </w:rPr>
        <w:t xml:space="preserve"> відповідних видатків, зокрема.</w:t>
      </w:r>
    </w:p>
    <w:p w:rsidR="00F14406" w:rsidRDefault="00572A84">
      <w:pPr>
        <w:pStyle w:val="Standard"/>
        <w:ind w:firstLine="708"/>
        <w:jc w:val="both"/>
        <w:rPr>
          <w:rStyle w:val="rvts0"/>
        </w:rPr>
      </w:pPr>
      <w:r>
        <w:rPr>
          <w:rStyle w:val="rvts0"/>
        </w:rPr>
        <w:t xml:space="preserve">Таке обґрунтування, на наш погляд, вбачається доцільним і з огляду на пропонований термін набрання чинності Законом, проект якого розглядається, – «з дня, наступного за днем його опублікування» (розділ ІІ проекту). </w:t>
      </w:r>
    </w:p>
    <w:p w:rsidR="00F14406" w:rsidRDefault="00572A84">
      <w:pPr>
        <w:pStyle w:val="Standard"/>
        <w:ind w:firstLine="708"/>
        <w:jc w:val="both"/>
        <w:rPr>
          <w:color w:val="000000"/>
          <w:szCs w:val="28"/>
          <w:highlight w:val="white"/>
        </w:rPr>
      </w:pPr>
      <w:r>
        <w:rPr>
          <w:rStyle w:val="rvts0"/>
        </w:rPr>
        <w:t>Річ у ті</w:t>
      </w:r>
      <w:r>
        <w:rPr>
          <w:rStyle w:val="rvts0"/>
        </w:rPr>
        <w:t>м, що у пояснювальній записці до проекту наголошується на тому, що «з</w:t>
      </w:r>
      <w:r>
        <w:rPr>
          <w:szCs w:val="28"/>
        </w:rPr>
        <w:t xml:space="preserve">гідно з  положеннями Закону України від 8 лютого 1995 року </w:t>
      </w:r>
      <w:r>
        <w:rPr>
          <w:szCs w:val="28"/>
        </w:rPr>
        <w:br/>
        <w:t xml:space="preserve">№ 39/95-VI «Про використання ядерної енергії та радіаційну безпеку», який є основоположним у ядерному законодавстві, населення </w:t>
      </w:r>
      <w:r>
        <w:rPr>
          <w:szCs w:val="28"/>
        </w:rPr>
        <w:t xml:space="preserve">територій, на яких розміщуються ядерні установки, має право на соціально-економічну компенсацію ризику від діяльності цих об’єктів, </w:t>
      </w:r>
      <w:r>
        <w:rPr>
          <w:i/>
          <w:szCs w:val="28"/>
        </w:rPr>
        <w:t>яка здійснюється за рахунок надходжень збору на соціально-економічну компенсацію ризику населення</w:t>
      </w:r>
      <w:r>
        <w:rPr>
          <w:szCs w:val="28"/>
        </w:rPr>
        <w:t>, яке проживає на території</w:t>
      </w:r>
      <w:r>
        <w:rPr>
          <w:szCs w:val="28"/>
        </w:rPr>
        <w:t xml:space="preserve"> зони спостереження,</w:t>
      </w:r>
      <w:r>
        <w:rPr>
          <w:color w:val="000000"/>
          <w:szCs w:val="28"/>
          <w:shd w:val="clear" w:color="auto" w:fill="FFFFFF"/>
        </w:rPr>
        <w:t xml:space="preserve"> у тому числі на пільги з оплати за спожиту електричну енергію для населення» (п. 1). </w:t>
      </w:r>
    </w:p>
    <w:p w:rsidR="00F14406" w:rsidRDefault="00572A84">
      <w:pPr>
        <w:pStyle w:val="Standard"/>
        <w:ind w:firstLine="708"/>
        <w:jc w:val="both"/>
        <w:rPr>
          <w:kern w:val="0"/>
          <w:lang w:eastAsia="uk-UA"/>
        </w:rPr>
      </w:pPr>
      <w:r>
        <w:rPr>
          <w:color w:val="000000"/>
          <w:szCs w:val="28"/>
          <w:shd w:val="clear" w:color="auto" w:fill="FFFFFF"/>
        </w:rPr>
        <w:t xml:space="preserve">У той же час, звертаємо увагу на те, що </w:t>
      </w:r>
      <w:r>
        <w:rPr>
          <w:rStyle w:val="rvts0"/>
        </w:rPr>
        <w:t>дія положень ч. 1 ст. 12</w:t>
      </w:r>
      <w:r>
        <w:rPr>
          <w:rStyle w:val="rvts0"/>
          <w:vertAlign w:val="superscript"/>
        </w:rPr>
        <w:t>1</w:t>
      </w:r>
      <w:r>
        <w:rPr>
          <w:rStyle w:val="rvts0"/>
        </w:rPr>
        <w:t xml:space="preserve"> </w:t>
      </w:r>
      <w:r>
        <w:rPr>
          <w:rStyle w:val="rvts0"/>
        </w:rPr>
        <w:br/>
        <w:t>Закону України «Про використання ядерної енергії та радіаційну безпеку», за якою «</w:t>
      </w:r>
      <w:r>
        <w:rPr>
          <w:rStyle w:val="rvts0"/>
        </w:rPr>
        <w:t>фінансування заходів щодо соціально-економічної компенсації ризику населення, яке проживає на території зони спостереження, здійснюється із спеціального фонду Державного бюджету України за рахунок збору на соціально-економічну компенсацію ризику населення,</w:t>
      </w:r>
      <w:r>
        <w:rPr>
          <w:rStyle w:val="rvts0"/>
        </w:rPr>
        <w:t xml:space="preserve"> яке проживає на території зони спостереження», та ч. 1 ст. 12</w:t>
      </w:r>
      <w:r>
        <w:rPr>
          <w:rStyle w:val="rvts0"/>
          <w:vertAlign w:val="superscript"/>
        </w:rPr>
        <w:t>2</w:t>
      </w:r>
      <w:r>
        <w:rPr>
          <w:rStyle w:val="rvts0"/>
        </w:rPr>
        <w:t xml:space="preserve"> цього ж Закону, за якою «к</w:t>
      </w:r>
      <w:r>
        <w:rPr>
          <w:kern w:val="0"/>
          <w:lang w:eastAsia="uk-UA"/>
        </w:rPr>
        <w:t xml:space="preserve">ошти від збору на соціально-економічну компенсацію ризику населення, яке </w:t>
      </w:r>
      <w:r>
        <w:rPr>
          <w:kern w:val="0"/>
          <w:lang w:eastAsia="uk-UA"/>
        </w:rPr>
        <w:lastRenderedPageBreak/>
        <w:t>проживає на території зони спостереження, спрямовуються у вигляді субвенції із спеціального ф</w:t>
      </w:r>
      <w:r>
        <w:rPr>
          <w:kern w:val="0"/>
          <w:lang w:eastAsia="uk-UA"/>
        </w:rPr>
        <w:t>онду Державного бюджету України до спеціальних фондів бюджетів обласних, районних, міських рад монофункціональних міст - супутників ядерних установок і підприємств з видобування і переробки уранових руд, на територію яких поширюються відповідні зони спосте</w:t>
      </w:r>
      <w:r>
        <w:rPr>
          <w:kern w:val="0"/>
          <w:lang w:eastAsia="uk-UA"/>
        </w:rPr>
        <w:t>реження платників збору, і розподіляються між цими бюджетами» у певному співвідношенні, на 2020 рік призупинена</w:t>
      </w:r>
      <w:r w:rsidR="00792C25">
        <w:rPr>
          <w:kern w:val="0"/>
          <w:lang w:eastAsia="uk-UA"/>
        </w:rPr>
        <w:t xml:space="preserve"> </w:t>
      </w:r>
      <w:r>
        <w:rPr>
          <w:kern w:val="0"/>
          <w:lang w:eastAsia="uk-UA"/>
        </w:rPr>
        <w:t xml:space="preserve">Законом України «Про Державний бюджет України на 2020 рік». </w:t>
      </w:r>
    </w:p>
    <w:p w:rsidR="00F14406" w:rsidRDefault="00572A84">
      <w:pPr>
        <w:pStyle w:val="Standard"/>
        <w:ind w:firstLine="708"/>
        <w:jc w:val="both"/>
      </w:pPr>
      <w:r>
        <w:rPr>
          <w:kern w:val="0"/>
          <w:lang w:eastAsia="uk-UA"/>
        </w:rPr>
        <w:t>При цьому у поточному році відповідні видатки фінансуються за рахунок субвенції із</w:t>
      </w:r>
      <w:r>
        <w:rPr>
          <w:kern w:val="0"/>
          <w:lang w:eastAsia="uk-UA"/>
        </w:rPr>
        <w:t xml:space="preserve"> загального фонду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спостереження, обсяг якої у Законі України «Про Державний бюджет України на 2020 рік» визначен</w:t>
      </w:r>
      <w:r>
        <w:rPr>
          <w:kern w:val="0"/>
          <w:lang w:eastAsia="uk-UA"/>
        </w:rPr>
        <w:t xml:space="preserve">ий у розмірі </w:t>
      </w:r>
      <w:r>
        <w:rPr>
          <w:kern w:val="0"/>
          <w:szCs w:val="28"/>
          <w:lang w:eastAsia="uk-UA"/>
        </w:rPr>
        <w:t>137 499,5 тис. гривень.</w:t>
      </w:r>
    </w:p>
    <w:p w:rsidR="00F14406" w:rsidRDefault="00572A84">
      <w:pPr>
        <w:pStyle w:val="Standard"/>
        <w:ind w:firstLine="708"/>
        <w:jc w:val="both"/>
        <w:rPr>
          <w:kern w:val="0"/>
          <w:lang w:eastAsia="uk-UA"/>
        </w:rPr>
      </w:pPr>
      <w:r>
        <w:rPr>
          <w:kern w:val="0"/>
          <w:szCs w:val="28"/>
          <w:lang w:eastAsia="uk-UA"/>
        </w:rPr>
        <w:t xml:space="preserve">Відтак, з огляду на пропонований у проекті строк набрання чинності законом, </w:t>
      </w:r>
      <w:r>
        <w:rPr>
          <w:kern w:val="0"/>
          <w:lang w:eastAsia="uk-UA"/>
        </w:rPr>
        <w:t>порядок реалізації пропонованих новел у поточному бюджетному періоді у таких умовах виглядає не зовсім зрозумілим. Відповідно</w:t>
      </w:r>
      <w:r w:rsidRPr="00792C25">
        <w:rPr>
          <w:color w:val="000000" w:themeColor="text1"/>
          <w:kern w:val="0"/>
          <w:lang w:eastAsia="uk-UA"/>
        </w:rPr>
        <w:t>,</w:t>
      </w:r>
      <w:r>
        <w:rPr>
          <w:kern w:val="0"/>
          <w:lang w:eastAsia="uk-UA"/>
        </w:rPr>
        <w:t xml:space="preserve"> при прийнятті рі</w:t>
      </w:r>
      <w:r>
        <w:rPr>
          <w:kern w:val="0"/>
          <w:lang w:eastAsia="uk-UA"/>
        </w:rPr>
        <w:t>шення щодо внесеного законопроекту положення проекту та чинного законодавства, що стосуються механізму компенсації соціально-економічного ризику вказаних категорій населення, з метою належного правозастосування, слід узгодити між собою.</w:t>
      </w:r>
    </w:p>
    <w:p w:rsidR="00F14406" w:rsidRDefault="00572A84">
      <w:pPr>
        <w:pStyle w:val="Standard"/>
        <w:ind w:firstLine="708"/>
        <w:jc w:val="both"/>
      </w:pPr>
      <w:r>
        <w:rPr>
          <w:rStyle w:val="a3"/>
          <w:rFonts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Змінами до ч. 7 ст. 63 Закону України «Про ринок електричної енергії» передбачається, що постачальники універсальних послуг мають право отримувати компенсацію витрат на </w:t>
      </w:r>
      <w:r>
        <w:rPr>
          <w:szCs w:val="28"/>
        </w:rPr>
        <w:t xml:space="preserve">надання універсальних послуг для побутових споживачів, які постійно проживають у зоні </w:t>
      </w:r>
      <w:r>
        <w:rPr>
          <w:szCs w:val="28"/>
        </w:rPr>
        <w:t>спостереження, проте не менше ніж 30-кілометровій зоні атомних станцій.</w:t>
      </w:r>
    </w:p>
    <w:p w:rsidR="00F14406" w:rsidRDefault="00572A84">
      <w:pPr>
        <w:pStyle w:val="Standard"/>
        <w:ind w:firstLine="708"/>
        <w:jc w:val="both"/>
      </w:pP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Головне управління звертає увагу, що п. 1 ч. 7 ст. 63 Закону України «Про ринок електричної енергії» передбачене право постачальників універсальних послуг отримувати компенсацію витрат</w:t>
      </w: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надання універсальних послуг вразливим споживачам відповідно до законодавства у порядку, визначеному Кабінетом Міністрів України.</w:t>
      </w:r>
    </w:p>
    <w:p w:rsidR="00F14406" w:rsidRDefault="00572A84">
      <w:pPr>
        <w:pStyle w:val="Standard"/>
        <w:ind w:firstLine="708"/>
        <w:jc w:val="both"/>
      </w:pP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На нашу думку, у положеннях законопроекту слід передбачити аналогічний порядок компенсації витрат на надання універсальних</w:t>
      </w: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послуг і для постачальників універсальних послуг побутовим споживачам, які постійно проживають </w:t>
      </w:r>
      <w:r>
        <w:rPr>
          <w:szCs w:val="28"/>
        </w:rPr>
        <w:t xml:space="preserve">у зоні спостереження, проте не менше ніж </w:t>
      </w:r>
      <w:r>
        <w:rPr>
          <w:szCs w:val="28"/>
        </w:rPr>
        <w:br/>
        <w:t>30-кілометровій зоні атомних станцій</w:t>
      </w: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14406" w:rsidRDefault="00572A84">
      <w:pPr>
        <w:pStyle w:val="Standard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eastAsia="ru-RU"/>
        </w:rPr>
      </w:pP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Принагідно звертаємо увагу, що відповідно до ч. ч. 2, 5 ст. 62 </w:t>
      </w: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br/>
        <w:t xml:space="preserve">Закону України </w:t>
      </w: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«Про ринок електричної енергії» виконання функцій </w:t>
      </w:r>
      <w:r>
        <w:rPr>
          <w:rStyle w:val="a3"/>
          <w:rFonts w:cs="Times New Roman"/>
          <w:b w:val="0"/>
          <w:i/>
          <w:iCs/>
          <w:color w:val="000000"/>
          <w:sz w:val="28"/>
          <w:szCs w:val="28"/>
          <w:shd w:val="clear" w:color="auto" w:fill="FFFFFF"/>
          <w:lang w:eastAsia="ru-RU"/>
        </w:rPr>
        <w:t>постачальника універсальних послуг</w:t>
      </w: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належить до спеціальних обов’язків, що покладаються на учасників ринку електричної енергії відповідно до цього Закону для забезпечення загальносуспільних інтересів у проце</w:t>
      </w: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сі функціонування ринку електричної енергії. </w:t>
      </w:r>
      <w:r>
        <w:rPr>
          <w:rStyle w:val="a3"/>
          <w:rFonts w:cs="Times New Roman"/>
          <w:b w:val="0"/>
          <w:i/>
          <w:color w:val="000000"/>
          <w:sz w:val="28"/>
          <w:szCs w:val="28"/>
          <w:shd w:val="clear" w:color="auto" w:fill="FFFFFF"/>
          <w:lang w:eastAsia="ru-RU"/>
        </w:rPr>
        <w:t>У рішенні Кабінету Міністрів України</w:t>
      </w: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про покладання спеціальних обов’язків на учасників ринку визначаються, крім іншого, </w:t>
      </w:r>
      <w:r>
        <w:rPr>
          <w:i/>
          <w:iCs/>
        </w:rPr>
        <w:t xml:space="preserve">джерела фінансування та порядок визначення </w:t>
      </w:r>
      <w:r>
        <w:rPr>
          <w:i/>
          <w:iCs/>
        </w:rPr>
        <w:lastRenderedPageBreak/>
        <w:t>компенсації,</w:t>
      </w:r>
      <w:r>
        <w:t xml:space="preserve"> що надається учасникам ринку, на я</w:t>
      </w:r>
      <w:r>
        <w:t>ких покладаються спеціальні обов’язки, з урахуванням вимог ч. 7 цієї статті, за якою «у</w:t>
      </w:r>
      <w:r>
        <w:rPr>
          <w:rStyle w:val="rvts0"/>
        </w:rPr>
        <w:t>мови виконання спеціальних обов’язків мають забезпечувати покриття економічно обґрунтованих витрат учасника ринку на виконання таких обов’язків»</w:t>
      </w:r>
      <w:r>
        <w:rPr>
          <w:rStyle w:val="a3"/>
          <w:rFonts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4406" w:rsidRDefault="00572A84">
      <w:pPr>
        <w:pStyle w:val="Textbody"/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4. </w:t>
      </w:r>
      <w:r>
        <w:rPr>
          <w:color w:val="000000"/>
          <w:szCs w:val="28"/>
          <w:lang w:eastAsia="ru-RU"/>
        </w:rPr>
        <w:t>З метою дотримання т</w:t>
      </w:r>
      <w:r>
        <w:rPr>
          <w:color w:val="000000"/>
          <w:szCs w:val="28"/>
          <w:lang w:eastAsia="ru-RU"/>
        </w:rPr>
        <w:t xml:space="preserve">ермінологічної єдності (як із чинним законодавством, так і безпосередньо у проекті, що розглядається, – див., наприклад, назву проекту) звертаємо увагу на доцільність вживання </w:t>
      </w:r>
      <w:r>
        <w:rPr>
          <w:color w:val="000000"/>
          <w:szCs w:val="28"/>
          <w:lang w:eastAsia="ru-RU"/>
        </w:rPr>
        <w:br/>
        <w:t>(у відповідних відмінках) замість слів «атомні станції» слів «атомні електроста</w:t>
      </w:r>
      <w:r>
        <w:rPr>
          <w:color w:val="000000"/>
          <w:szCs w:val="28"/>
          <w:lang w:eastAsia="ru-RU"/>
        </w:rPr>
        <w:t xml:space="preserve">нції». </w:t>
      </w:r>
    </w:p>
    <w:p w:rsidR="00F14406" w:rsidRDefault="00572A84">
      <w:pPr>
        <w:pStyle w:val="Textbody"/>
        <w:spacing w:after="0" w:line="240" w:lineRule="auto"/>
        <w:ind w:firstLine="708"/>
        <w:jc w:val="both"/>
        <w:rPr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5.</w:t>
      </w:r>
      <w:r>
        <w:rPr>
          <w:color w:val="000000"/>
          <w:szCs w:val="28"/>
          <w:lang w:eastAsia="ru-RU"/>
        </w:rPr>
        <w:t xml:space="preserve"> Звертаємо увагу, що на розгляді Верховної Ради України знаходиться законопроект реєстр. № 2778 від 17.01.2020, який присвячений вирішенню аналогічного за змістом питання. Тому обидва проекти доцільно розглядати разом. </w:t>
      </w:r>
    </w:p>
    <w:p w:rsidR="00F14406" w:rsidRDefault="00F14406">
      <w:pPr>
        <w:pStyle w:val="Textbody"/>
        <w:spacing w:after="0" w:line="240" w:lineRule="auto"/>
        <w:ind w:firstLine="360"/>
        <w:jc w:val="both"/>
        <w:rPr>
          <w:color w:val="000000"/>
          <w:szCs w:val="28"/>
          <w:lang w:eastAsia="ru-RU"/>
        </w:rPr>
      </w:pPr>
    </w:p>
    <w:p w:rsidR="00F14406" w:rsidRDefault="00F14406">
      <w:pPr>
        <w:pStyle w:val="Standard"/>
        <w:jc w:val="both"/>
        <w:rPr>
          <w:color w:val="000000"/>
          <w:szCs w:val="28"/>
        </w:rPr>
      </w:pPr>
    </w:p>
    <w:p w:rsidR="00F14406" w:rsidRDefault="00572A84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Керівник Головного </w:t>
      </w:r>
      <w:r>
        <w:rPr>
          <w:szCs w:val="28"/>
        </w:rPr>
        <w:t xml:space="preserve">управління                                  </w:t>
      </w:r>
      <w:r w:rsidR="00776DDC">
        <w:rPr>
          <w:szCs w:val="28"/>
        </w:rPr>
        <w:t xml:space="preserve">     </w:t>
      </w:r>
      <w:r>
        <w:rPr>
          <w:szCs w:val="28"/>
        </w:rPr>
        <w:t xml:space="preserve">       С. </w:t>
      </w:r>
      <w:proofErr w:type="spellStart"/>
      <w:r>
        <w:rPr>
          <w:szCs w:val="28"/>
        </w:rPr>
        <w:t>Тихонюк</w:t>
      </w:r>
      <w:proofErr w:type="spellEnd"/>
    </w:p>
    <w:p w:rsidR="00F14406" w:rsidRDefault="00776DDC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F14406" w:rsidRDefault="00F14406">
      <w:pPr>
        <w:pStyle w:val="Standard"/>
        <w:ind w:firstLine="708"/>
        <w:jc w:val="both"/>
      </w:pPr>
    </w:p>
    <w:p w:rsidR="00F14406" w:rsidRDefault="00572A84">
      <w:pPr>
        <w:pStyle w:val="Standard"/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Вик</w:t>
      </w:r>
      <w:proofErr w:type="spellEnd"/>
      <w:r>
        <w:rPr>
          <w:sz w:val="20"/>
          <w:szCs w:val="20"/>
        </w:rPr>
        <w:t xml:space="preserve">.: Ю. </w:t>
      </w:r>
      <w:proofErr w:type="spellStart"/>
      <w:r>
        <w:rPr>
          <w:sz w:val="20"/>
          <w:szCs w:val="20"/>
        </w:rPr>
        <w:t>Лисицька</w:t>
      </w:r>
      <w:proofErr w:type="spellEnd"/>
      <w:r>
        <w:rPr>
          <w:sz w:val="20"/>
          <w:szCs w:val="20"/>
        </w:rPr>
        <w:t>, А. Мних, Н. Пархоменко</w:t>
      </w:r>
    </w:p>
    <w:sectPr w:rsidR="00F14406">
      <w:headerReference w:type="default" r:id="rId8"/>
      <w:headerReference w:type="firs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2A84">
      <w:r>
        <w:separator/>
      </w:r>
    </w:p>
  </w:endnote>
  <w:endnote w:type="continuationSeparator" w:id="0">
    <w:p w:rsidR="00000000" w:rsidRDefault="0057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 sans-serif;Times New Rom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, 'Courier New'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2A84">
      <w:r>
        <w:separator/>
      </w:r>
    </w:p>
  </w:footnote>
  <w:footnote w:type="continuationSeparator" w:id="0">
    <w:p w:rsidR="00000000" w:rsidRDefault="0057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06" w:rsidRDefault="00572A84">
    <w:pPr>
      <w:pStyle w:val="ad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:rsidR="00F14406" w:rsidRDefault="00F14406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06" w:rsidRDefault="00572A84">
    <w:pPr>
      <w:pStyle w:val="Standard"/>
      <w:jc w:val="right"/>
    </w:pPr>
    <w:r>
      <w:rPr>
        <w:sz w:val="20"/>
      </w:rPr>
      <w:t xml:space="preserve">До </w:t>
    </w:r>
    <w:proofErr w:type="spellStart"/>
    <w:r>
      <w:rPr>
        <w:sz w:val="20"/>
        <w:lang w:val="ru-RU"/>
      </w:rPr>
      <w:t>реєстр</w:t>
    </w:r>
    <w:proofErr w:type="spellEnd"/>
    <w:r>
      <w:rPr>
        <w:sz w:val="20"/>
        <w:lang w:val="ru-RU"/>
      </w:rPr>
      <w:t xml:space="preserve">. </w:t>
    </w:r>
    <w:r>
      <w:rPr>
        <w:sz w:val="20"/>
      </w:rPr>
      <w:t>№ 2778</w:t>
    </w:r>
    <w:r>
      <w:rPr>
        <w:sz w:val="20"/>
        <w:lang w:val="ru-RU"/>
      </w:rPr>
      <w:t>-1</w:t>
    </w:r>
    <w:r>
      <w:rPr>
        <w:sz w:val="20"/>
      </w:rPr>
      <w:t xml:space="preserve"> від 04.02.2020</w:t>
    </w:r>
  </w:p>
  <w:p w:rsidR="00F14406" w:rsidRDefault="00572A84">
    <w:pPr>
      <w:pStyle w:val="Standard"/>
      <w:jc w:val="right"/>
      <w:rPr>
        <w:sz w:val="20"/>
      </w:rPr>
    </w:pPr>
    <w:r>
      <w:rPr>
        <w:sz w:val="20"/>
      </w:rPr>
      <w:t xml:space="preserve">Народний депутат України </w:t>
    </w:r>
  </w:p>
  <w:p w:rsidR="00F14406" w:rsidRDefault="00572A84">
    <w:pPr>
      <w:pStyle w:val="Standard"/>
      <w:jc w:val="right"/>
      <w:rPr>
        <w:sz w:val="20"/>
      </w:rPr>
    </w:pPr>
    <w:proofErr w:type="spellStart"/>
    <w:r>
      <w:rPr>
        <w:sz w:val="20"/>
      </w:rPr>
      <w:t>Ю.Яцик</w:t>
    </w:r>
    <w:proofErr w:type="spellEnd"/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32483"/>
    <w:multiLevelType w:val="multilevel"/>
    <w:tmpl w:val="E556AA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06"/>
    <w:rsid w:val="000969E6"/>
    <w:rsid w:val="00150B81"/>
    <w:rsid w:val="003611CE"/>
    <w:rsid w:val="003D39A0"/>
    <w:rsid w:val="00572A84"/>
    <w:rsid w:val="005D1C8E"/>
    <w:rsid w:val="006C39D2"/>
    <w:rsid w:val="00776DDC"/>
    <w:rsid w:val="00792C25"/>
    <w:rsid w:val="00F14406"/>
    <w:rsid w:val="00F7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E9CD"/>
  <w15:docId w15:val="{D3B59F1D-1335-412F-A82F-AD877715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Liberation Serif;Times New Roma" w:eastAsia="NSimSun" w:hAnsi="Liberation Serif;Times New Roma" w:cs="Arial, sans-serif;Times New Rom"/>
      <w:kern w:val="2"/>
      <w:sz w:val="24"/>
    </w:rPr>
  </w:style>
  <w:style w:type="paragraph" w:styleId="1">
    <w:name w:val="heading 1"/>
    <w:basedOn w:val="Standard"/>
    <w:next w:val="Standard"/>
    <w:qFormat/>
    <w:pPr>
      <w:keepNext/>
      <w:numPr>
        <w:numId w:val="1"/>
      </w:numPr>
      <w:jc w:val="both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  <w:rPr>
      <w:rFonts w:cs="Times New Roman"/>
    </w:rPr>
  </w:style>
  <w:style w:type="character" w:customStyle="1" w:styleId="10">
    <w:name w:val="Основной шрифт абзаца1"/>
    <w:qFormat/>
  </w:style>
  <w:style w:type="character" w:customStyle="1" w:styleId="a3">
    <w:name w:val="Назва документа Знак"/>
    <w:qFormat/>
    <w:rPr>
      <w:rFonts w:ascii="Antiqua, 'Courier New'" w:hAnsi="Antiqua, 'Courier New'" w:cs="Antiqua, 'Courier New'"/>
      <w:b/>
      <w:sz w:val="26"/>
      <w:lang w:val="uk-UA" w:bidi="ar-SA"/>
    </w:rPr>
  </w:style>
  <w:style w:type="character" w:customStyle="1" w:styleId="11">
    <w:name w:val="Стиль1 Знак"/>
    <w:qFormat/>
    <w:rPr>
      <w:sz w:val="24"/>
      <w:szCs w:val="24"/>
      <w:lang w:val="uk-UA" w:bidi="ar-SA"/>
    </w:rPr>
  </w:style>
  <w:style w:type="character" w:customStyle="1" w:styleId="FontStyle">
    <w:name w:val="Font Style"/>
    <w:qFormat/>
    <w:rPr>
      <w:rFonts w:cs="Courier New"/>
      <w:color w:val="000000"/>
      <w:sz w:val="28"/>
      <w:szCs w:val="28"/>
    </w:rPr>
  </w:style>
  <w:style w:type="character" w:customStyle="1" w:styleId="3">
    <w:name w:val="Основной текст (3)"/>
    <w:qFormat/>
    <w:rPr>
      <w:rFonts w:ascii="Times New Roman" w:hAnsi="Times New Roman" w:cs="Times New Roman"/>
      <w:b/>
      <w:bCs/>
      <w:i/>
      <w:iCs/>
      <w:spacing w:val="0"/>
      <w:sz w:val="31"/>
      <w:szCs w:val="31"/>
      <w:u w:val="single"/>
    </w:rPr>
  </w:style>
  <w:style w:type="character" w:customStyle="1" w:styleId="32">
    <w:name w:val="Основной текст (3)2"/>
    <w:qFormat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13pt">
    <w:name w:val="Основной текст + 13 pt"/>
    <w:qFormat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StyleZakonu">
    <w:name w:val="StyleZakonu Знак"/>
    <w:qFormat/>
    <w:rPr>
      <w:rFonts w:ascii="Arial Unicode MS" w:eastAsia="Arial Unicode MS" w:hAnsi="Arial Unicode MS" w:cs="Arial Unicode MS"/>
      <w:lang w:val="uk-UA" w:bidi="ar-SA"/>
    </w:rPr>
  </w:style>
  <w:style w:type="character" w:customStyle="1" w:styleId="rvts23">
    <w:name w:val="rvts23"/>
    <w:qFormat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character" w:customStyle="1" w:styleId="FontStyle50">
    <w:name w:val="Font Style50"/>
    <w:qFormat/>
    <w:rPr>
      <w:rFonts w:ascii="Arial" w:hAnsi="Arial" w:cs="Arial"/>
      <w:sz w:val="18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styleId="a4">
    <w:name w:val="page number"/>
    <w:basedOn w:val="10"/>
  </w:style>
  <w:style w:type="character" w:customStyle="1" w:styleId="StrongEmphasis">
    <w:name w:val="Strong Emphasis"/>
    <w:qFormat/>
    <w:rPr>
      <w:b/>
      <w:bCs/>
    </w:rPr>
  </w:style>
  <w:style w:type="character" w:customStyle="1" w:styleId="TextChar">
    <w:name w:val="Text Char"/>
    <w:qFormat/>
    <w:rPr>
      <w:sz w:val="24"/>
      <w:lang w:val="en-GB" w:bidi="ar-SA"/>
    </w:rPr>
  </w:style>
  <w:style w:type="character" w:customStyle="1" w:styleId="12">
    <w:name w:val="Знак Знак1"/>
    <w:qFormat/>
    <w:rPr>
      <w:rFonts w:ascii="Courier New" w:hAnsi="Courier New" w:cs="Courier New"/>
      <w:lang w:val="ru-RU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rvts15">
    <w:name w:val="rvts15"/>
    <w:basedOn w:val="a0"/>
    <w:qFormat/>
  </w:style>
  <w:style w:type="character" w:customStyle="1" w:styleId="rvts0">
    <w:name w:val="rvts0"/>
    <w:basedOn w:val="a0"/>
    <w:qFormat/>
  </w:style>
  <w:style w:type="character" w:customStyle="1" w:styleId="FooterChar">
    <w:name w:val="Footer Char"/>
    <w:basedOn w:val="a0"/>
    <w:qFormat/>
    <w:rPr>
      <w:rFonts w:cs="Mangal"/>
      <w:kern w:val="2"/>
      <w:sz w:val="24"/>
      <w:szCs w:val="21"/>
      <w:lang w:val="en-US" w:eastAsia="zh-CN" w:bidi="hi-IN"/>
    </w:rPr>
  </w:style>
  <w:style w:type="character" w:customStyle="1" w:styleId="HeaderChar">
    <w:name w:val="Header Char"/>
    <w:basedOn w:val="a0"/>
    <w:qFormat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InternetLink0">
    <w:name w:val="Internet Link"/>
    <w:rPr>
      <w:color w:val="000080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;Arial" w:eastAsia="Microsoft YaHei" w:hAnsi="Liberation Sans;Arial" w:cs="Arial, sans-serif;Times New Rom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Arial, sans-serif;Times New Rom"/>
      <w:sz w:val="24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Arial, sans-serif;Times New Rom"/>
      <w:i/>
      <w:iCs/>
      <w:sz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, sans-serif;Times New Rom"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lang w:val="uk-UA"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8">
    <w:name w:val="Назва документа"/>
    <w:basedOn w:val="Standard"/>
    <w:next w:val="Standard"/>
    <w:qFormat/>
    <w:pPr>
      <w:keepNext/>
      <w:keepLines/>
      <w:spacing w:before="360" w:after="360"/>
      <w:jc w:val="center"/>
    </w:pPr>
    <w:rPr>
      <w:rFonts w:ascii="Antiqua, 'Courier New'" w:hAnsi="Antiqua, 'Courier New'" w:cs="Antiqua, 'Courier New'"/>
      <w:b/>
      <w:sz w:val="26"/>
      <w:szCs w:val="20"/>
    </w:rPr>
  </w:style>
  <w:style w:type="paragraph" w:customStyle="1" w:styleId="a9">
    <w:name w:val="Знак Знак"/>
    <w:basedOn w:val="Standard"/>
    <w:qFormat/>
    <w:rPr>
      <w:rFonts w:ascii="Verdana" w:hAnsi="Verdana" w:cs="Verdana"/>
      <w:sz w:val="20"/>
      <w:szCs w:val="20"/>
      <w:lang w:val="en-US"/>
    </w:rPr>
  </w:style>
  <w:style w:type="paragraph" w:customStyle="1" w:styleId="13">
    <w:name w:val="Стиль1"/>
    <w:basedOn w:val="Standard"/>
    <w:qFormat/>
    <w:pPr>
      <w:widowControl w:val="0"/>
      <w:spacing w:after="120"/>
      <w:jc w:val="both"/>
    </w:pPr>
    <w:rPr>
      <w:sz w:val="24"/>
    </w:rPr>
  </w:style>
  <w:style w:type="paragraph" w:customStyle="1" w:styleId="31">
    <w:name w:val="Основной текст с отступом 31"/>
    <w:basedOn w:val="Standard"/>
    <w:qFormat/>
    <w:pPr>
      <w:ind w:firstLine="709"/>
      <w:jc w:val="both"/>
    </w:pPr>
    <w:rPr>
      <w:szCs w:val="20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aa">
    <w:name w:val="Стиль"/>
    <w:basedOn w:val="Standard"/>
    <w:qFormat/>
    <w:rPr>
      <w:rFonts w:ascii="Verdana" w:hAnsi="Verdana" w:cs="Verdana"/>
      <w:sz w:val="20"/>
      <w:szCs w:val="20"/>
      <w:lang w:val="en-US"/>
    </w:rPr>
  </w:style>
  <w:style w:type="paragraph" w:customStyle="1" w:styleId="HTML1">
    <w:name w:val="Стандартный HTML1"/>
    <w:basedOn w:val="Standard"/>
    <w:qFormat/>
    <w:rPr>
      <w:rFonts w:ascii="Courier New" w:hAnsi="Courier New" w:cs="Courier New"/>
      <w:sz w:val="20"/>
      <w:szCs w:val="20"/>
      <w:lang w:val="ru-RU"/>
    </w:rPr>
  </w:style>
  <w:style w:type="paragraph" w:customStyle="1" w:styleId="Text">
    <w:name w:val="Text"/>
    <w:basedOn w:val="Standard"/>
    <w:qFormat/>
    <w:rPr>
      <w:rFonts w:ascii="Courier New" w:hAnsi="Courier New" w:cs="Courier New"/>
      <w:sz w:val="20"/>
      <w:szCs w:val="20"/>
      <w:lang w:val="ru-RU"/>
    </w:rPr>
  </w:style>
  <w:style w:type="paragraph" w:customStyle="1" w:styleId="rvps2">
    <w:name w:val="rvps2"/>
    <w:basedOn w:val="Standard"/>
    <w:qFormat/>
    <w:pPr>
      <w:spacing w:before="280" w:after="280"/>
    </w:pPr>
    <w:rPr>
      <w:sz w:val="24"/>
      <w:lang w:val="ru-RU"/>
    </w:rPr>
  </w:style>
  <w:style w:type="paragraph" w:customStyle="1" w:styleId="StyleZakonu0">
    <w:name w:val="StyleZakonu"/>
    <w:basedOn w:val="Standard"/>
    <w:qFormat/>
    <w:pPr>
      <w:spacing w:after="60" w:line="220" w:lineRule="exact"/>
      <w:ind w:firstLine="284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4">
    <w:name w:val="Знак1 Знак Знак Знак"/>
    <w:basedOn w:val="Standard"/>
    <w:qFormat/>
    <w:rPr>
      <w:rFonts w:ascii="Verdana" w:hAnsi="Verdana" w:cs="Verdana"/>
      <w:sz w:val="20"/>
      <w:szCs w:val="20"/>
      <w:lang w:val="en-US"/>
    </w:rPr>
  </w:style>
  <w:style w:type="paragraph" w:customStyle="1" w:styleId="rvps61">
    <w:name w:val="rvps61"/>
    <w:basedOn w:val="Standard"/>
    <w:qFormat/>
    <w:pPr>
      <w:spacing w:before="200" w:after="100"/>
      <w:ind w:left="300" w:right="300"/>
      <w:jc w:val="center"/>
    </w:pPr>
    <w:rPr>
      <w:sz w:val="24"/>
      <w:lang w:val="ru-RU"/>
    </w:rPr>
  </w:style>
  <w:style w:type="paragraph" w:customStyle="1" w:styleId="ab">
    <w:name w:val="Готовый"/>
    <w:basedOn w:val="Standard"/>
    <w:qFormat/>
    <w:rPr>
      <w:rFonts w:ascii="Courier New" w:hAnsi="Courier New" w:cs="Courier New"/>
      <w:sz w:val="20"/>
      <w:szCs w:val="20"/>
    </w:rPr>
  </w:style>
  <w:style w:type="paragraph" w:customStyle="1" w:styleId="ac">
    <w:name w:val="Нормальний текст"/>
    <w:basedOn w:val="Standard"/>
    <w:qFormat/>
    <w:pPr>
      <w:spacing w:before="120"/>
      <w:ind w:firstLine="567"/>
      <w:jc w:val="both"/>
    </w:pPr>
    <w:rPr>
      <w:rFonts w:ascii="Antiqua, 'Courier New'" w:hAnsi="Antiqua, 'Courier New'" w:cs="Antiqua, 'Courier New'"/>
      <w:sz w:val="26"/>
      <w:szCs w:val="20"/>
    </w:rPr>
  </w:style>
  <w:style w:type="paragraph" w:customStyle="1" w:styleId="NoSpacing1">
    <w:name w:val="No Spacing1"/>
    <w:qFormat/>
    <w:pPr>
      <w:suppressAutoHyphens/>
      <w:textAlignment w:val="baseline"/>
    </w:pPr>
    <w:rPr>
      <w:rFonts w:ascii="Calibri" w:eastAsia="Times New Roman" w:hAnsi="Calibri" w:cs="Calibri"/>
      <w:kern w:val="2"/>
      <w:sz w:val="22"/>
      <w:szCs w:val="22"/>
      <w:lang w:val="uk-UA" w:bidi="ar-SA"/>
    </w:rPr>
  </w:style>
  <w:style w:type="paragraph" w:customStyle="1" w:styleId="HeaderandFooter">
    <w:name w:val="Header and Footer"/>
    <w:basedOn w:val="Standard"/>
    <w:qFormat/>
    <w:pPr>
      <w:suppressLineNumbers/>
    </w:pPr>
  </w:style>
  <w:style w:type="paragraph" w:styleId="ad">
    <w:name w:val="header"/>
    <w:basedOn w:val="Standard"/>
  </w:style>
  <w:style w:type="paragraph" w:customStyle="1" w:styleId="Textuser">
    <w:name w:val="Text (user)"/>
    <w:basedOn w:val="Standard"/>
    <w:qFormat/>
    <w:pPr>
      <w:spacing w:before="240"/>
      <w:jc w:val="both"/>
    </w:pPr>
    <w:rPr>
      <w:sz w:val="24"/>
      <w:szCs w:val="20"/>
      <w:lang w:val="en-GB"/>
    </w:rPr>
  </w:style>
  <w:style w:type="paragraph" w:customStyle="1" w:styleId="Framecontents">
    <w:name w:val="Frame contents"/>
    <w:basedOn w:val="Standard"/>
    <w:qFormat/>
  </w:style>
  <w:style w:type="paragraph" w:styleId="ae">
    <w:name w:val="footer"/>
    <w:basedOn w:val="a"/>
    <w:pPr>
      <w:tabs>
        <w:tab w:val="center" w:pos="4819"/>
        <w:tab w:val="right" w:pos="9639"/>
      </w:tabs>
    </w:pPr>
    <w:rPr>
      <w:rFonts w:cs="Mangal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">
    <w:name w:val="Balloon Text"/>
    <w:basedOn w:val="a"/>
    <w:link w:val="af0"/>
    <w:uiPriority w:val="99"/>
    <w:semiHidden/>
    <w:unhideWhenUsed/>
    <w:rsid w:val="00F76CC0"/>
    <w:rPr>
      <w:rFonts w:ascii="Segoe UI" w:hAnsi="Segoe UI" w:cs="Mangal"/>
      <w:sz w:val="18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76CC0"/>
    <w:rPr>
      <w:rFonts w:ascii="Segoe UI" w:eastAsia="NSimSun" w:hAnsi="Segoe UI" w:cs="Mangal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201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5556</Words>
  <Characters>3168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,,,</vt:lpstr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,,,</dc:title>
  <dc:subject/>
  <dc:creator>snd</dc:creator>
  <dc:description/>
  <cp:lastModifiedBy>Лопотуха Інна Григорівна</cp:lastModifiedBy>
  <cp:revision>11</cp:revision>
  <cp:lastPrinted>2020-03-24T18:33:00Z</cp:lastPrinted>
  <dcterms:created xsi:type="dcterms:W3CDTF">2020-03-24T18:30:00Z</dcterms:created>
  <dcterms:modified xsi:type="dcterms:W3CDTF">2020-03-24T18:55:00Z</dcterms:modified>
  <dc:language>en-US</dc:language>
</cp:coreProperties>
</file>