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3AA" w:rsidRPr="00BF3E40" w:rsidRDefault="002853AA" w:rsidP="004078CC">
      <w:bookmarkStart w:id="0" w:name="_GoBack"/>
      <w:bookmarkEnd w:id="0"/>
    </w:p>
    <w:p w:rsidR="002853AA" w:rsidRPr="00BF3E40" w:rsidRDefault="002853AA" w:rsidP="004078CC"/>
    <w:p w:rsidR="002853AA" w:rsidRPr="00BF3E40" w:rsidRDefault="002853AA" w:rsidP="004078CC"/>
    <w:p w:rsidR="00820E93" w:rsidRPr="00BF3E40" w:rsidRDefault="00820E93" w:rsidP="004078CC"/>
    <w:p w:rsidR="00820E93" w:rsidRPr="00BF3E40" w:rsidRDefault="00820E93" w:rsidP="004078CC"/>
    <w:p w:rsidR="00820E93" w:rsidRPr="00BF3E40" w:rsidRDefault="00820E93" w:rsidP="004078CC"/>
    <w:p w:rsidR="00820E93" w:rsidRPr="00BF3E40" w:rsidRDefault="00820E93" w:rsidP="004078CC"/>
    <w:p w:rsidR="002853AA" w:rsidRPr="00BF3E40" w:rsidRDefault="002853AA" w:rsidP="004078CC"/>
    <w:p w:rsidR="00F37FDD" w:rsidRPr="00BF3E40" w:rsidRDefault="00F37FDD" w:rsidP="004078CC">
      <w:pPr>
        <w:jc w:val="center"/>
        <w:rPr>
          <w:b/>
        </w:rPr>
      </w:pPr>
    </w:p>
    <w:p w:rsidR="002853AA" w:rsidRPr="00BF3E40" w:rsidRDefault="002853AA" w:rsidP="004078CC">
      <w:pPr>
        <w:jc w:val="center"/>
        <w:rPr>
          <w:b/>
        </w:rPr>
      </w:pPr>
      <w:r w:rsidRPr="00BF3E40">
        <w:rPr>
          <w:b/>
        </w:rPr>
        <w:t>ВИСНОВОК</w:t>
      </w:r>
    </w:p>
    <w:p w:rsidR="005D6503" w:rsidRPr="00BF3E40" w:rsidRDefault="00820E93" w:rsidP="005D6503">
      <w:pPr>
        <w:jc w:val="center"/>
        <w:rPr>
          <w:b/>
          <w:color w:val="000000"/>
        </w:rPr>
      </w:pPr>
      <w:r w:rsidRPr="00BF3E40">
        <w:rPr>
          <w:rFonts w:eastAsia="MS Mincho"/>
          <w:b/>
        </w:rPr>
        <w:t>на проект Закону України «</w:t>
      </w:r>
      <w:r w:rsidR="002853AA" w:rsidRPr="00BF3E40">
        <w:rPr>
          <w:rFonts w:eastAsia="MS Mincho"/>
          <w:b/>
        </w:rPr>
        <w:t xml:space="preserve">Про внесення змін до Митного кодексу України </w:t>
      </w:r>
      <w:r w:rsidR="002853AA" w:rsidRPr="00BF3E40">
        <w:rPr>
          <w:b/>
          <w:color w:val="000000"/>
        </w:rPr>
        <w:t xml:space="preserve">щодо удосконалення </w:t>
      </w:r>
      <w:r w:rsidR="002853AA" w:rsidRPr="00BF3E40">
        <w:rPr>
          <w:b/>
        </w:rPr>
        <w:t>функціонування</w:t>
      </w:r>
      <w:r w:rsidR="002853AA" w:rsidRPr="00BF3E40">
        <w:t xml:space="preserve"> </w:t>
      </w:r>
      <w:r w:rsidR="002853AA" w:rsidRPr="00BF3E40">
        <w:rPr>
          <w:b/>
          <w:color w:val="000000"/>
        </w:rPr>
        <w:t xml:space="preserve">авторизованих економічних операторів, інституту фінансових гарантій </w:t>
      </w:r>
    </w:p>
    <w:p w:rsidR="002853AA" w:rsidRPr="00BF3E40" w:rsidRDefault="002853AA" w:rsidP="005D6503">
      <w:pPr>
        <w:jc w:val="center"/>
        <w:rPr>
          <w:rFonts w:eastAsia="MS Mincho"/>
          <w:b/>
        </w:rPr>
      </w:pPr>
      <w:r w:rsidRPr="00BF3E40">
        <w:rPr>
          <w:b/>
          <w:color w:val="000000"/>
        </w:rPr>
        <w:t>та зменшення тиску правоохоронних органів</w:t>
      </w:r>
      <w:r w:rsidR="00820E93" w:rsidRPr="00BF3E40">
        <w:rPr>
          <w:rFonts w:eastAsia="MS Mincho"/>
          <w:b/>
        </w:rPr>
        <w:t>»</w:t>
      </w:r>
      <w:r w:rsidRPr="00BF3E40">
        <w:rPr>
          <w:rFonts w:eastAsia="MS Mincho"/>
          <w:b/>
        </w:rPr>
        <w:t xml:space="preserve"> </w:t>
      </w:r>
    </w:p>
    <w:p w:rsidR="002853AA" w:rsidRPr="00BF3E40" w:rsidRDefault="002853AA" w:rsidP="004078CC">
      <w:pPr>
        <w:jc w:val="center"/>
        <w:rPr>
          <w:b/>
        </w:rPr>
      </w:pPr>
    </w:p>
    <w:p w:rsidR="003A0B66" w:rsidRPr="00BF3E40" w:rsidRDefault="003A0B66" w:rsidP="004078CC">
      <w:pPr>
        <w:ind w:firstLine="709"/>
        <w:jc w:val="both"/>
      </w:pPr>
      <w:r w:rsidRPr="00BF3E40">
        <w:t>У з</w:t>
      </w:r>
      <w:r w:rsidR="002853AA" w:rsidRPr="00BF3E40">
        <w:t>аконопроект</w:t>
      </w:r>
      <w:r w:rsidRPr="00BF3E40">
        <w:t xml:space="preserve">і шляхом внесення змін до </w:t>
      </w:r>
      <w:r w:rsidR="002853AA" w:rsidRPr="00BF3E40">
        <w:t xml:space="preserve">Митного кодексу України (далі – </w:t>
      </w:r>
      <w:r w:rsidRPr="00BF3E40">
        <w:t>МК</w:t>
      </w:r>
      <w:r w:rsidR="002853AA" w:rsidRPr="00BF3E40">
        <w:t>)</w:t>
      </w:r>
      <w:r w:rsidRPr="00BF3E40">
        <w:t xml:space="preserve"> передбачається: </w:t>
      </w:r>
    </w:p>
    <w:p w:rsidR="002853AA" w:rsidRPr="00BF3E40" w:rsidRDefault="002853AA" w:rsidP="004078CC">
      <w:pPr>
        <w:ind w:firstLine="709"/>
        <w:jc w:val="both"/>
        <w:rPr>
          <w:color w:val="000000"/>
        </w:rPr>
      </w:pPr>
      <w:r w:rsidRPr="00BF3E40">
        <w:rPr>
          <w:color w:val="000000"/>
        </w:rPr>
        <w:t xml:space="preserve">прийняття рішення про надання авторизації </w:t>
      </w:r>
      <w:r w:rsidR="003A0B66" w:rsidRPr="00BF3E40">
        <w:rPr>
          <w:color w:val="000000"/>
        </w:rPr>
        <w:t xml:space="preserve">авторизованих економічних операторів (далі – </w:t>
      </w:r>
      <w:r w:rsidRPr="00BF3E40">
        <w:rPr>
          <w:color w:val="000000"/>
        </w:rPr>
        <w:t>АЕО</w:t>
      </w:r>
      <w:r w:rsidR="003A0B66" w:rsidRPr="00BF3E40">
        <w:rPr>
          <w:color w:val="000000"/>
        </w:rPr>
        <w:t>)</w:t>
      </w:r>
      <w:r w:rsidRPr="00BF3E40">
        <w:rPr>
          <w:color w:val="000000"/>
        </w:rPr>
        <w:t xml:space="preserve"> з урахуванням рекомендацій Комісії з питань авторизації АЕО, визначення порядку формування </w:t>
      </w:r>
      <w:r w:rsidR="003A0B66" w:rsidRPr="00BF3E40">
        <w:rPr>
          <w:color w:val="000000"/>
        </w:rPr>
        <w:t>та окремих пи</w:t>
      </w:r>
      <w:r w:rsidRPr="00BF3E40">
        <w:rPr>
          <w:color w:val="000000"/>
        </w:rPr>
        <w:t xml:space="preserve">тань діяльності цієї </w:t>
      </w:r>
      <w:r w:rsidR="003A0B66" w:rsidRPr="00BF3E40">
        <w:rPr>
          <w:color w:val="000000"/>
        </w:rPr>
        <w:t>К</w:t>
      </w:r>
      <w:r w:rsidRPr="00BF3E40">
        <w:rPr>
          <w:color w:val="000000"/>
        </w:rPr>
        <w:t>омісії;</w:t>
      </w:r>
    </w:p>
    <w:p w:rsidR="009B3F38" w:rsidRPr="00BF3E40" w:rsidRDefault="009B3F38" w:rsidP="004078CC">
      <w:pPr>
        <w:ind w:firstLine="709"/>
        <w:jc w:val="both"/>
        <w:rPr>
          <w:color w:val="000000"/>
          <w:shd w:val="clear" w:color="auto" w:fill="FFFFFF"/>
        </w:rPr>
      </w:pPr>
      <w:r w:rsidRPr="00BF3E40">
        <w:rPr>
          <w:color w:val="000000"/>
          <w:shd w:val="clear" w:color="auto" w:fill="FFFFFF"/>
        </w:rPr>
        <w:t xml:space="preserve">внесення змін до умов відповідності </w:t>
      </w:r>
      <w:r w:rsidRPr="00BF3E40">
        <w:rPr>
          <w:color w:val="000000"/>
        </w:rPr>
        <w:t>підприємства критеріям АЕО</w:t>
      </w:r>
      <w:r w:rsidRPr="00BF3E40">
        <w:rPr>
          <w:color w:val="000000"/>
          <w:shd w:val="clear" w:color="auto" w:fill="FFFFFF"/>
        </w:rPr>
        <w:t xml:space="preserve"> шляхом встановлення допустимого розміру </w:t>
      </w:r>
      <w:r w:rsidRPr="00BF3E40">
        <w:rPr>
          <w:color w:val="000000"/>
        </w:rPr>
        <w:t xml:space="preserve">податкового боргу (до десяти </w:t>
      </w:r>
      <w:r w:rsidRPr="00BF3E40">
        <w:rPr>
          <w:color w:val="000000"/>
          <w:shd w:val="clear" w:color="auto" w:fill="FFFFFF"/>
        </w:rPr>
        <w:t xml:space="preserve">розмірів прожиткового мінімуму, встановленого для працездатних осіб </w:t>
      </w:r>
      <w:r w:rsidR="00BA1714">
        <w:rPr>
          <w:color w:val="000000"/>
          <w:shd w:val="clear" w:color="auto" w:fill="FFFFFF"/>
        </w:rPr>
        <w:br/>
      </w:r>
      <w:r w:rsidRPr="00BF3E40">
        <w:rPr>
          <w:color w:val="000000"/>
          <w:shd w:val="clear" w:color="auto" w:fill="FFFFFF"/>
        </w:rPr>
        <w:t>на 1 січня відповідного календарного року);</w:t>
      </w:r>
    </w:p>
    <w:p w:rsidR="009B3F38" w:rsidRPr="00BF3E40" w:rsidRDefault="009B3F38" w:rsidP="004078CC">
      <w:pPr>
        <w:ind w:firstLine="709"/>
        <w:jc w:val="both"/>
        <w:rPr>
          <w:color w:val="000000"/>
        </w:rPr>
      </w:pPr>
      <w:r w:rsidRPr="00BF3E40">
        <w:rPr>
          <w:color w:val="000000"/>
        </w:rPr>
        <w:t>встановлення розміру базової суми загальної фінансової гарантії АЕО;</w:t>
      </w:r>
    </w:p>
    <w:p w:rsidR="009B3F38" w:rsidRPr="00BF3E40" w:rsidRDefault="0029798C" w:rsidP="004078CC">
      <w:pPr>
        <w:ind w:firstLine="709"/>
        <w:jc w:val="both"/>
        <w:rPr>
          <w:color w:val="000000"/>
        </w:rPr>
      </w:pPr>
      <w:r w:rsidRPr="00BF3E40">
        <w:rPr>
          <w:color w:val="000000"/>
        </w:rPr>
        <w:t xml:space="preserve">зміна величини дозволеного зменшення </w:t>
      </w:r>
      <w:r w:rsidR="009B3F38" w:rsidRPr="00BF3E40">
        <w:rPr>
          <w:color w:val="000000"/>
        </w:rPr>
        <w:t>розміру забезпечення базової суми загальної фінансової гарантії</w:t>
      </w:r>
      <w:r w:rsidRPr="00BF3E40">
        <w:rPr>
          <w:color w:val="000000"/>
        </w:rPr>
        <w:t xml:space="preserve"> АЕО та умов такого зменшення;</w:t>
      </w:r>
    </w:p>
    <w:p w:rsidR="0029798C" w:rsidRPr="00BF3E40" w:rsidRDefault="00F37FDD" w:rsidP="004078CC">
      <w:pPr>
        <w:ind w:firstLine="709"/>
        <w:jc w:val="both"/>
      </w:pPr>
      <w:r w:rsidRPr="00BF3E40">
        <w:rPr>
          <w:color w:val="000000"/>
        </w:rPr>
        <w:t xml:space="preserve">наділення правом надавати </w:t>
      </w:r>
      <w:r w:rsidR="0029798C" w:rsidRPr="00BF3E40">
        <w:rPr>
          <w:color w:val="000000"/>
        </w:rPr>
        <w:t xml:space="preserve">загальну фінансову гарантію для АЕО </w:t>
      </w:r>
      <w:r w:rsidR="0029798C" w:rsidRPr="00BF3E40">
        <w:t>виключно системно важлив</w:t>
      </w:r>
      <w:r w:rsidRPr="00BF3E40">
        <w:t>их</w:t>
      </w:r>
      <w:r w:rsidR="0029798C" w:rsidRPr="00BF3E40">
        <w:t xml:space="preserve"> банк</w:t>
      </w:r>
      <w:r w:rsidRPr="00BF3E40">
        <w:t>ів</w:t>
      </w:r>
      <w:r w:rsidR="0029798C" w:rsidRPr="00BF3E40">
        <w:t>;</w:t>
      </w:r>
    </w:p>
    <w:p w:rsidR="0029798C" w:rsidRPr="00BF3E40" w:rsidRDefault="00005AA5" w:rsidP="004078CC">
      <w:pPr>
        <w:ind w:firstLine="709"/>
        <w:jc w:val="both"/>
      </w:pPr>
      <w:r w:rsidRPr="00BF3E40">
        <w:t>виключення</w:t>
      </w:r>
      <w:r w:rsidR="0029798C" w:rsidRPr="00BF3E40">
        <w:t xml:space="preserve"> норми щодо обов’язкової наявності у гаранта електронної системи накопичення і обміну інформацією з органами доходів і зборів та уповноважених представників у всіх пунктах пропуску через державний кордон</w:t>
      </w:r>
      <w:r w:rsidR="00927805" w:rsidRPr="00BF3E40">
        <w:t xml:space="preserve"> тощо.</w:t>
      </w:r>
    </w:p>
    <w:p w:rsidR="00927805" w:rsidRPr="00BF3E40" w:rsidRDefault="002853AA" w:rsidP="003E2FEF">
      <w:pPr>
        <w:widowControl w:val="0"/>
        <w:autoSpaceDE w:val="0"/>
        <w:autoSpaceDN w:val="0"/>
        <w:adjustRightInd w:val="0"/>
        <w:ind w:firstLine="709"/>
        <w:jc w:val="both"/>
      </w:pPr>
      <w:r w:rsidRPr="00BF3E40">
        <w:t xml:space="preserve">У пояснювальній записці до законопроекту зазначається, що метою законопроекту </w:t>
      </w:r>
      <w:r w:rsidR="00927805" w:rsidRPr="00BF3E40">
        <w:t>є запровадження положень, які посилюють контроль за перевіркою підприємств-кандидатів про надання авторизації АЕО, забезпечення фінансових гарантій АЕО перед державою, удосконалення інституту фінансових гарантій, зменшення тиску правоохоронних органів, покращення міжнародного іміджу України.</w:t>
      </w:r>
    </w:p>
    <w:p w:rsidR="00927805" w:rsidRPr="00BF3E40" w:rsidRDefault="00A46AC6" w:rsidP="004078CC">
      <w:pPr>
        <w:ind w:firstLine="709"/>
        <w:jc w:val="both"/>
      </w:pPr>
      <w:r w:rsidRPr="00BF3E40">
        <w:t>Головне управління, ро</w:t>
      </w:r>
      <w:r w:rsidR="002853AA" w:rsidRPr="00BF3E40">
        <w:t>зглянувши законопроект</w:t>
      </w:r>
      <w:r w:rsidRPr="00BF3E40">
        <w:t xml:space="preserve">, вважає за доцільне </w:t>
      </w:r>
      <w:r w:rsidR="002853AA" w:rsidRPr="00BF3E40">
        <w:t>вислов</w:t>
      </w:r>
      <w:r w:rsidRPr="00BF3E40">
        <w:t xml:space="preserve">ити щодо нього </w:t>
      </w:r>
      <w:r w:rsidR="002853AA" w:rsidRPr="00BF3E40">
        <w:t>наступні зауваження.</w:t>
      </w:r>
    </w:p>
    <w:p w:rsidR="002A2665" w:rsidRPr="00B129DB" w:rsidRDefault="002A2665" w:rsidP="002A2665">
      <w:pPr>
        <w:pStyle w:val="rvps2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rvts46"/>
          <w:sz w:val="28"/>
          <w:szCs w:val="28"/>
        </w:rPr>
      </w:pPr>
      <w:r>
        <w:rPr>
          <w:sz w:val="28"/>
          <w:szCs w:val="28"/>
          <w:lang w:eastAsia="ru-RU"/>
        </w:rPr>
        <w:t xml:space="preserve">Насамперед зауважимо, що пропоновані </w:t>
      </w:r>
      <w:r w:rsidRPr="002A2665">
        <w:rPr>
          <w:sz w:val="28"/>
          <w:szCs w:val="28"/>
        </w:rPr>
        <w:t xml:space="preserve">зміни потребують актуалізації у зв’язку із тим, що низка положень МК, у тому числі, й ті, до яких </w:t>
      </w:r>
      <w:r w:rsidRPr="002A2665">
        <w:rPr>
          <w:sz w:val="28"/>
          <w:szCs w:val="28"/>
        </w:rPr>
        <w:lastRenderedPageBreak/>
        <w:t xml:space="preserve">пропонуються зміни проектом, що розглядається, були змінені </w:t>
      </w:r>
      <w:r w:rsidRPr="002A2665">
        <w:rPr>
          <w:sz w:val="28"/>
          <w:szCs w:val="28"/>
        </w:rPr>
        <w:br/>
        <w:t>Законом України «</w:t>
      </w:r>
      <w:r w:rsidRPr="002A2665">
        <w:rPr>
          <w:rStyle w:val="rvts23"/>
          <w:sz w:val="28"/>
          <w:szCs w:val="28"/>
        </w:rPr>
        <w:t xml:space="preserve">Про внесення змін до Митного кодексу України та деяких інших законодавчих актів України у зв’язку з проведенням адміністративної реформи» від </w:t>
      </w:r>
      <w:r w:rsidRPr="002A2665">
        <w:rPr>
          <w:rStyle w:val="rvts9"/>
          <w:sz w:val="28"/>
          <w:szCs w:val="28"/>
        </w:rPr>
        <w:t xml:space="preserve">14.01.2020 № 440-IX, який набрав чинності </w:t>
      </w:r>
      <w:r w:rsidRPr="002A2665">
        <w:rPr>
          <w:rStyle w:val="dat"/>
          <w:sz w:val="28"/>
          <w:szCs w:val="28"/>
        </w:rPr>
        <w:t>13.02.2020. Це стосується, зокрема, заміни у т</w:t>
      </w:r>
      <w:r w:rsidRPr="002A2665">
        <w:rPr>
          <w:rStyle w:val="rvts46"/>
          <w:sz w:val="28"/>
          <w:szCs w:val="28"/>
        </w:rPr>
        <w:t>ексті МК слів «орган доходів і зборів» у всіх відмінках та числах словами «митний орган» у відповідному відмінку та числі, а та</w:t>
      </w:r>
      <w:r>
        <w:rPr>
          <w:rStyle w:val="rvts46"/>
          <w:sz w:val="28"/>
          <w:szCs w:val="28"/>
        </w:rPr>
        <w:t xml:space="preserve">кож уточнення положень відповідних статей </w:t>
      </w:r>
      <w:r w:rsidRPr="00B129DB">
        <w:rPr>
          <w:rStyle w:val="rvts46"/>
          <w:sz w:val="28"/>
          <w:szCs w:val="28"/>
        </w:rPr>
        <w:t>МК.</w:t>
      </w:r>
    </w:p>
    <w:p w:rsidR="00741C39" w:rsidRPr="00BF3E40" w:rsidRDefault="00927805" w:rsidP="007F2D39">
      <w:pPr>
        <w:pStyle w:val="rvps2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eastAsia="ru-RU"/>
        </w:rPr>
      </w:pPr>
      <w:r w:rsidRPr="00BF3E40">
        <w:rPr>
          <w:sz w:val="28"/>
          <w:szCs w:val="28"/>
        </w:rPr>
        <w:t xml:space="preserve">Змінами до </w:t>
      </w:r>
      <w:r w:rsidR="007F2D39" w:rsidRPr="00BF3E40">
        <w:rPr>
          <w:sz w:val="28"/>
          <w:szCs w:val="28"/>
        </w:rPr>
        <w:t xml:space="preserve">ч. 6 </w:t>
      </w:r>
      <w:r w:rsidRPr="00BF3E40">
        <w:rPr>
          <w:sz w:val="28"/>
          <w:szCs w:val="28"/>
        </w:rPr>
        <w:t>ст.</w:t>
      </w:r>
      <w:r w:rsidR="007F2D39" w:rsidRPr="00BF3E40">
        <w:rPr>
          <w:sz w:val="28"/>
          <w:szCs w:val="28"/>
        </w:rPr>
        <w:t xml:space="preserve"> </w:t>
      </w:r>
      <w:r w:rsidRPr="00BF3E40">
        <w:rPr>
          <w:sz w:val="28"/>
          <w:szCs w:val="28"/>
        </w:rPr>
        <w:t xml:space="preserve">12 </w:t>
      </w:r>
      <w:r w:rsidR="007F2D39" w:rsidRPr="00BF3E40">
        <w:rPr>
          <w:sz w:val="28"/>
          <w:szCs w:val="28"/>
        </w:rPr>
        <w:t>МК</w:t>
      </w:r>
      <w:r w:rsidRPr="00BF3E40">
        <w:rPr>
          <w:sz w:val="28"/>
          <w:szCs w:val="28"/>
        </w:rPr>
        <w:t xml:space="preserve"> передбачається</w:t>
      </w:r>
      <w:r w:rsidR="007F2D39" w:rsidRPr="00BF3E40">
        <w:rPr>
          <w:sz w:val="28"/>
          <w:szCs w:val="28"/>
        </w:rPr>
        <w:t>, що</w:t>
      </w:r>
      <w:r w:rsidRPr="00BF3E40">
        <w:rPr>
          <w:sz w:val="28"/>
          <w:szCs w:val="28"/>
        </w:rPr>
        <w:t xml:space="preserve"> </w:t>
      </w:r>
      <w:r w:rsidR="007F2D39" w:rsidRPr="00BF3E40">
        <w:rPr>
          <w:sz w:val="28"/>
          <w:szCs w:val="28"/>
        </w:rPr>
        <w:t xml:space="preserve">рішення </w:t>
      </w:r>
      <w:r w:rsidRPr="00BF3E40">
        <w:rPr>
          <w:color w:val="000000"/>
          <w:sz w:val="28"/>
          <w:szCs w:val="28"/>
        </w:rPr>
        <w:t>центральн</w:t>
      </w:r>
      <w:r w:rsidR="007F2D39" w:rsidRPr="00BF3E40">
        <w:rPr>
          <w:color w:val="000000"/>
          <w:sz w:val="28"/>
          <w:szCs w:val="28"/>
        </w:rPr>
        <w:t>ого</w:t>
      </w:r>
      <w:r w:rsidRPr="00BF3E40">
        <w:rPr>
          <w:color w:val="000000"/>
          <w:sz w:val="28"/>
          <w:szCs w:val="28"/>
        </w:rPr>
        <w:t xml:space="preserve"> орган</w:t>
      </w:r>
      <w:r w:rsidR="007F2D39" w:rsidRPr="00BF3E40">
        <w:rPr>
          <w:color w:val="000000"/>
          <w:sz w:val="28"/>
          <w:szCs w:val="28"/>
        </w:rPr>
        <w:t>у</w:t>
      </w:r>
      <w:r w:rsidRPr="00BF3E40">
        <w:rPr>
          <w:color w:val="000000"/>
          <w:sz w:val="28"/>
          <w:szCs w:val="28"/>
        </w:rPr>
        <w:t xml:space="preserve"> виконавчої влади, що реалізує державну митну політику</w:t>
      </w:r>
      <w:r w:rsidR="007F2D39" w:rsidRPr="00BF3E40">
        <w:rPr>
          <w:color w:val="000000"/>
          <w:sz w:val="28"/>
          <w:szCs w:val="28"/>
        </w:rPr>
        <w:t>,</w:t>
      </w:r>
      <w:r w:rsidRPr="00BF3E40">
        <w:rPr>
          <w:sz w:val="28"/>
          <w:szCs w:val="28"/>
        </w:rPr>
        <w:t xml:space="preserve"> </w:t>
      </w:r>
      <w:r w:rsidRPr="00BF3E40">
        <w:rPr>
          <w:color w:val="000000"/>
          <w:sz w:val="28"/>
          <w:szCs w:val="28"/>
        </w:rPr>
        <w:t xml:space="preserve">про надання авторизації АЕО </w:t>
      </w:r>
      <w:r w:rsidR="007F2D39" w:rsidRPr="00BF3E40">
        <w:rPr>
          <w:color w:val="000000"/>
          <w:sz w:val="28"/>
          <w:szCs w:val="28"/>
        </w:rPr>
        <w:t xml:space="preserve">приймається </w:t>
      </w:r>
      <w:r w:rsidRPr="00BF3E40">
        <w:rPr>
          <w:i/>
          <w:color w:val="000000"/>
          <w:sz w:val="28"/>
          <w:szCs w:val="28"/>
        </w:rPr>
        <w:t xml:space="preserve">з урахуванням рекомендацій Комісії з питань авторизації АЕО </w:t>
      </w:r>
      <w:r w:rsidR="00F771CA" w:rsidRPr="00BF3E40">
        <w:rPr>
          <w:color w:val="000000"/>
          <w:sz w:val="28"/>
          <w:szCs w:val="28"/>
        </w:rPr>
        <w:t>(далі – Комісія)</w:t>
      </w:r>
      <w:r w:rsidR="00F771CA" w:rsidRPr="00BF3E40">
        <w:rPr>
          <w:i/>
          <w:color w:val="000000"/>
          <w:sz w:val="28"/>
          <w:szCs w:val="28"/>
        </w:rPr>
        <w:t xml:space="preserve"> </w:t>
      </w:r>
      <w:r w:rsidRPr="00BF3E40">
        <w:rPr>
          <w:i/>
          <w:color w:val="000000"/>
          <w:sz w:val="28"/>
          <w:szCs w:val="28"/>
        </w:rPr>
        <w:t>щодо відповідності висновку про відповідність підприємства критеріям АЕО вимогам цього Кодексу.</w:t>
      </w:r>
      <w:r w:rsidR="00A52135" w:rsidRPr="00BF3E40">
        <w:rPr>
          <w:i/>
          <w:color w:val="000000"/>
          <w:sz w:val="28"/>
          <w:szCs w:val="28"/>
        </w:rPr>
        <w:t xml:space="preserve"> </w:t>
      </w:r>
    </w:p>
    <w:p w:rsidR="008073F3" w:rsidRPr="00BF3E40" w:rsidRDefault="001E1B60" w:rsidP="007F2D39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  <w:lang w:eastAsia="ru-RU"/>
        </w:rPr>
      </w:pPr>
      <w:r w:rsidRPr="00BF3E40">
        <w:rPr>
          <w:sz w:val="28"/>
          <w:szCs w:val="28"/>
          <w:lang w:eastAsia="ru-RU"/>
        </w:rPr>
        <w:t>Насамперед з</w:t>
      </w:r>
      <w:r w:rsidR="00F771CA" w:rsidRPr="00BF3E40">
        <w:rPr>
          <w:sz w:val="28"/>
          <w:szCs w:val="28"/>
          <w:lang w:eastAsia="ru-RU"/>
        </w:rPr>
        <w:t xml:space="preserve">ауважимо, що </w:t>
      </w:r>
      <w:r w:rsidR="00A52135" w:rsidRPr="00BF3E40">
        <w:rPr>
          <w:sz w:val="28"/>
          <w:szCs w:val="28"/>
          <w:lang w:eastAsia="ru-RU"/>
        </w:rPr>
        <w:t xml:space="preserve">у проекті не визначений статус </w:t>
      </w:r>
      <w:r w:rsidR="00F771CA" w:rsidRPr="00BF3E40">
        <w:rPr>
          <w:sz w:val="28"/>
          <w:szCs w:val="28"/>
          <w:lang w:eastAsia="ru-RU"/>
        </w:rPr>
        <w:t>К</w:t>
      </w:r>
      <w:r w:rsidR="004078CC" w:rsidRPr="00BF3E40">
        <w:rPr>
          <w:sz w:val="28"/>
          <w:szCs w:val="28"/>
          <w:lang w:eastAsia="ru-RU"/>
        </w:rPr>
        <w:t>омісії</w:t>
      </w:r>
      <w:r w:rsidR="00A52135" w:rsidRPr="00BF3E40">
        <w:rPr>
          <w:sz w:val="28"/>
          <w:szCs w:val="28"/>
          <w:lang w:eastAsia="ru-RU"/>
        </w:rPr>
        <w:t xml:space="preserve">: чи є вона незалежною, чи утворюється при органі влади, яким чином ця </w:t>
      </w:r>
      <w:r w:rsidR="00F771CA" w:rsidRPr="00BF3E40">
        <w:rPr>
          <w:sz w:val="28"/>
          <w:szCs w:val="28"/>
          <w:lang w:eastAsia="ru-RU"/>
        </w:rPr>
        <w:t>К</w:t>
      </w:r>
      <w:r w:rsidR="00A52135" w:rsidRPr="00BF3E40">
        <w:rPr>
          <w:sz w:val="28"/>
          <w:szCs w:val="28"/>
          <w:lang w:eastAsia="ru-RU"/>
        </w:rPr>
        <w:t xml:space="preserve">омісія отримуватиме документи для розгляду, на кого покладається організаційне та матеріально-технічне забезпечення </w:t>
      </w:r>
      <w:r w:rsidR="003E2FEF" w:rsidRPr="00BF3E40">
        <w:rPr>
          <w:sz w:val="28"/>
          <w:szCs w:val="28"/>
          <w:lang w:eastAsia="ru-RU"/>
        </w:rPr>
        <w:t xml:space="preserve">її </w:t>
      </w:r>
      <w:r w:rsidR="00A52135" w:rsidRPr="00BF3E40">
        <w:rPr>
          <w:sz w:val="28"/>
          <w:szCs w:val="28"/>
          <w:lang w:eastAsia="ru-RU"/>
        </w:rPr>
        <w:t>діяльності</w:t>
      </w:r>
      <w:r w:rsidR="008073F3" w:rsidRPr="00BF3E40">
        <w:rPr>
          <w:sz w:val="28"/>
          <w:szCs w:val="28"/>
          <w:lang w:eastAsia="ru-RU"/>
        </w:rPr>
        <w:t xml:space="preserve"> тощо</w:t>
      </w:r>
      <w:r w:rsidR="00A52135" w:rsidRPr="00BF3E40">
        <w:rPr>
          <w:sz w:val="28"/>
          <w:szCs w:val="28"/>
          <w:lang w:eastAsia="ru-RU"/>
        </w:rPr>
        <w:t xml:space="preserve">. </w:t>
      </w:r>
    </w:p>
    <w:p w:rsidR="004078CC" w:rsidRPr="00BF3E40" w:rsidRDefault="00A52135" w:rsidP="00D27824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F3E40">
        <w:rPr>
          <w:sz w:val="28"/>
          <w:szCs w:val="28"/>
          <w:lang w:eastAsia="ru-RU"/>
        </w:rPr>
        <w:t>Також слід врахувати,</w:t>
      </w:r>
      <w:r w:rsidR="004078CC" w:rsidRPr="00BF3E40">
        <w:rPr>
          <w:sz w:val="28"/>
          <w:szCs w:val="28"/>
          <w:lang w:eastAsia="ru-RU"/>
        </w:rPr>
        <w:t xml:space="preserve"> що </w:t>
      </w:r>
      <w:r w:rsidR="008073F3" w:rsidRPr="00BF3E40">
        <w:rPr>
          <w:sz w:val="28"/>
          <w:szCs w:val="28"/>
          <w:lang w:eastAsia="ru-RU"/>
        </w:rPr>
        <w:t xml:space="preserve">чинною </w:t>
      </w:r>
      <w:r w:rsidR="004078CC" w:rsidRPr="00BF3E40">
        <w:rPr>
          <w:sz w:val="28"/>
          <w:szCs w:val="28"/>
          <w:lang w:eastAsia="ru-RU"/>
        </w:rPr>
        <w:t>ч.</w:t>
      </w:r>
      <w:r w:rsidR="001E1B60" w:rsidRPr="00BF3E40">
        <w:rPr>
          <w:sz w:val="28"/>
          <w:szCs w:val="28"/>
          <w:lang w:eastAsia="ru-RU"/>
        </w:rPr>
        <w:t xml:space="preserve"> </w:t>
      </w:r>
      <w:r w:rsidR="004078CC" w:rsidRPr="00BF3E40">
        <w:rPr>
          <w:sz w:val="28"/>
          <w:szCs w:val="28"/>
          <w:lang w:eastAsia="ru-RU"/>
        </w:rPr>
        <w:t>3 ст.</w:t>
      </w:r>
      <w:r w:rsidR="001E1B60" w:rsidRPr="00BF3E40">
        <w:rPr>
          <w:sz w:val="28"/>
          <w:szCs w:val="28"/>
          <w:lang w:eastAsia="ru-RU"/>
        </w:rPr>
        <w:t xml:space="preserve"> </w:t>
      </w:r>
      <w:r w:rsidR="004078CC" w:rsidRPr="00BF3E40">
        <w:rPr>
          <w:sz w:val="28"/>
          <w:szCs w:val="28"/>
          <w:lang w:eastAsia="ru-RU"/>
        </w:rPr>
        <w:t xml:space="preserve">12 </w:t>
      </w:r>
      <w:r w:rsidR="001E1B60" w:rsidRPr="00BF3E40">
        <w:rPr>
          <w:sz w:val="28"/>
          <w:szCs w:val="28"/>
          <w:lang w:eastAsia="ru-RU"/>
        </w:rPr>
        <w:t>М</w:t>
      </w:r>
      <w:r w:rsidR="004078CC" w:rsidRPr="00BF3E40">
        <w:rPr>
          <w:sz w:val="28"/>
          <w:szCs w:val="28"/>
          <w:lang w:eastAsia="ru-RU"/>
        </w:rPr>
        <w:t>К визначені наступні критерії д</w:t>
      </w:r>
      <w:r w:rsidR="004078CC" w:rsidRPr="00BF3E40">
        <w:rPr>
          <w:rFonts w:cs="Times New Roman"/>
          <w:color w:val="000000"/>
          <w:sz w:val="28"/>
          <w:szCs w:val="28"/>
        </w:rPr>
        <w:t>ля надання авторизації АЕО:</w:t>
      </w:r>
      <w:r w:rsidR="001E1B60" w:rsidRPr="00BF3E40">
        <w:rPr>
          <w:rFonts w:cs="Times New Roman"/>
          <w:color w:val="000000"/>
          <w:sz w:val="28"/>
          <w:szCs w:val="28"/>
        </w:rPr>
        <w:t xml:space="preserve"> </w:t>
      </w:r>
      <w:bookmarkStart w:id="1" w:name="n448"/>
      <w:bookmarkEnd w:id="1"/>
      <w:r w:rsidR="004078CC" w:rsidRPr="00BF3E40">
        <w:rPr>
          <w:color w:val="000000"/>
          <w:sz w:val="28"/>
          <w:szCs w:val="28"/>
        </w:rPr>
        <w:t>дотримання вимог митного та податкового законодавства України, а також відсутність фактів притягнення до кримінальної відповідальності;</w:t>
      </w:r>
      <w:r w:rsidR="001E1B60" w:rsidRPr="00BF3E40">
        <w:rPr>
          <w:color w:val="000000"/>
          <w:sz w:val="28"/>
          <w:szCs w:val="28"/>
        </w:rPr>
        <w:t xml:space="preserve"> </w:t>
      </w:r>
      <w:bookmarkStart w:id="2" w:name="n449"/>
      <w:bookmarkEnd w:id="2"/>
      <w:r w:rsidR="004078CC" w:rsidRPr="00BF3E40">
        <w:rPr>
          <w:color w:val="000000"/>
          <w:sz w:val="28"/>
          <w:szCs w:val="28"/>
        </w:rPr>
        <w:t>належна система ведення бухгалтерського обліку, комерційної та транспортної документації;</w:t>
      </w:r>
      <w:r w:rsidR="001E1B60" w:rsidRPr="00BF3E40">
        <w:rPr>
          <w:color w:val="000000"/>
          <w:sz w:val="28"/>
          <w:szCs w:val="28"/>
        </w:rPr>
        <w:t xml:space="preserve"> </w:t>
      </w:r>
      <w:bookmarkStart w:id="3" w:name="n450"/>
      <w:bookmarkEnd w:id="3"/>
      <w:r w:rsidR="004078CC" w:rsidRPr="00BF3E40">
        <w:rPr>
          <w:color w:val="000000"/>
          <w:sz w:val="28"/>
          <w:szCs w:val="28"/>
        </w:rPr>
        <w:t>стійкий фінансовий стан;</w:t>
      </w:r>
      <w:r w:rsidR="001E1B60" w:rsidRPr="00BF3E40">
        <w:rPr>
          <w:color w:val="000000"/>
          <w:sz w:val="28"/>
          <w:szCs w:val="28"/>
        </w:rPr>
        <w:t xml:space="preserve"> </w:t>
      </w:r>
      <w:bookmarkStart w:id="4" w:name="n5350"/>
      <w:bookmarkEnd w:id="4"/>
      <w:r w:rsidR="004078CC" w:rsidRPr="00BF3E40">
        <w:rPr>
          <w:color w:val="000000"/>
          <w:sz w:val="28"/>
          <w:szCs w:val="28"/>
        </w:rPr>
        <w:t>забезпечення практичних стандартів компетенції або професійної кваліфікації відповідальної посадової особи підприємства;</w:t>
      </w:r>
      <w:r w:rsidR="001E1B60" w:rsidRPr="00BF3E40">
        <w:rPr>
          <w:color w:val="000000"/>
          <w:sz w:val="28"/>
          <w:szCs w:val="28"/>
        </w:rPr>
        <w:t xml:space="preserve"> </w:t>
      </w:r>
      <w:bookmarkStart w:id="5" w:name="n5351"/>
      <w:bookmarkEnd w:id="5"/>
      <w:r w:rsidR="004078CC" w:rsidRPr="00BF3E40">
        <w:rPr>
          <w:color w:val="000000"/>
          <w:sz w:val="28"/>
          <w:szCs w:val="28"/>
        </w:rPr>
        <w:t xml:space="preserve">дотримання стандартів безпеки та надійності. </w:t>
      </w:r>
      <w:r w:rsidR="008073F3" w:rsidRPr="00BF3E40">
        <w:rPr>
          <w:color w:val="000000"/>
          <w:sz w:val="28"/>
          <w:szCs w:val="28"/>
        </w:rPr>
        <w:t>На думку Головного управління, с</w:t>
      </w:r>
      <w:r w:rsidR="004078CC" w:rsidRPr="00BF3E40">
        <w:rPr>
          <w:color w:val="000000"/>
          <w:sz w:val="28"/>
          <w:szCs w:val="28"/>
        </w:rPr>
        <w:t xml:space="preserve">проможність з’ясування відповідності або невідповідності підприємства встановленим критеріям передбачає наявність </w:t>
      </w:r>
      <w:r w:rsidR="00BA1714">
        <w:rPr>
          <w:color w:val="000000"/>
          <w:sz w:val="28"/>
          <w:szCs w:val="28"/>
        </w:rPr>
        <w:t>в</w:t>
      </w:r>
      <w:r w:rsidR="004078CC" w:rsidRPr="00BF3E40">
        <w:rPr>
          <w:color w:val="000000"/>
          <w:sz w:val="28"/>
          <w:szCs w:val="28"/>
        </w:rPr>
        <w:t xml:space="preserve"> осіб, які це здійснюють, певної освіти та професійного досвіду. Відповідні освітньо-професійні вимоги мають бути встановлені і для членів </w:t>
      </w:r>
      <w:r w:rsidR="001E1B60" w:rsidRPr="00BF3E40">
        <w:rPr>
          <w:color w:val="000000"/>
          <w:sz w:val="28"/>
          <w:szCs w:val="28"/>
        </w:rPr>
        <w:t>К</w:t>
      </w:r>
      <w:r w:rsidR="004078CC" w:rsidRPr="00BF3E40">
        <w:rPr>
          <w:color w:val="000000"/>
          <w:sz w:val="28"/>
          <w:szCs w:val="28"/>
        </w:rPr>
        <w:t xml:space="preserve">омісії, яка буде надавати рекомендації щодо відповідності висновку про відповідність підприємства критеріям АЕО. Принагідно </w:t>
      </w:r>
      <w:r w:rsidR="003E2FEF" w:rsidRPr="00BF3E40">
        <w:rPr>
          <w:color w:val="000000"/>
          <w:sz w:val="28"/>
          <w:szCs w:val="28"/>
        </w:rPr>
        <w:t>звертаємо увагу</w:t>
      </w:r>
      <w:r w:rsidR="004078CC" w:rsidRPr="00BF3E40">
        <w:rPr>
          <w:color w:val="000000"/>
          <w:sz w:val="28"/>
          <w:szCs w:val="28"/>
        </w:rPr>
        <w:t xml:space="preserve">, що запропонована проектом назва документу, </w:t>
      </w:r>
      <w:r w:rsidR="001C25E1" w:rsidRPr="00BF3E40">
        <w:rPr>
          <w:color w:val="000000"/>
          <w:sz w:val="28"/>
          <w:szCs w:val="28"/>
        </w:rPr>
        <w:t xml:space="preserve">який приймається </w:t>
      </w:r>
      <w:r w:rsidR="001E1B60" w:rsidRPr="00BF3E40">
        <w:rPr>
          <w:color w:val="000000"/>
          <w:sz w:val="28"/>
          <w:szCs w:val="28"/>
        </w:rPr>
        <w:t>К</w:t>
      </w:r>
      <w:r w:rsidR="001C25E1" w:rsidRPr="00BF3E40">
        <w:rPr>
          <w:color w:val="000000"/>
          <w:sz w:val="28"/>
          <w:szCs w:val="28"/>
        </w:rPr>
        <w:t>омісією</w:t>
      </w:r>
      <w:r w:rsidR="001E1B60" w:rsidRPr="00BF3E40">
        <w:rPr>
          <w:color w:val="000000"/>
          <w:sz w:val="28"/>
          <w:szCs w:val="28"/>
        </w:rPr>
        <w:t>,</w:t>
      </w:r>
      <w:r w:rsidR="001C25E1" w:rsidRPr="00BF3E40">
        <w:rPr>
          <w:color w:val="000000"/>
          <w:sz w:val="28"/>
          <w:szCs w:val="28"/>
        </w:rPr>
        <w:t xml:space="preserve"> </w:t>
      </w:r>
      <w:r w:rsidR="001E1B60" w:rsidRPr="00BF3E40">
        <w:rPr>
          <w:color w:val="000000"/>
          <w:sz w:val="28"/>
          <w:szCs w:val="28"/>
        </w:rPr>
        <w:t>–</w:t>
      </w:r>
      <w:r w:rsidR="001C25E1" w:rsidRPr="00BF3E40">
        <w:rPr>
          <w:color w:val="000000"/>
          <w:sz w:val="28"/>
          <w:szCs w:val="28"/>
        </w:rPr>
        <w:t xml:space="preserve"> рекомендації щодо</w:t>
      </w:r>
      <w:r w:rsidR="001C25E1" w:rsidRPr="00BF3E40">
        <w:rPr>
          <w:i/>
          <w:color w:val="000000"/>
          <w:sz w:val="28"/>
          <w:szCs w:val="28"/>
        </w:rPr>
        <w:t xml:space="preserve"> відповідності </w:t>
      </w:r>
      <w:r w:rsidR="001C25E1" w:rsidRPr="00BF3E40">
        <w:rPr>
          <w:color w:val="000000"/>
          <w:sz w:val="28"/>
          <w:szCs w:val="28"/>
        </w:rPr>
        <w:t>висновку про</w:t>
      </w:r>
      <w:r w:rsidR="001C25E1" w:rsidRPr="00BF3E40">
        <w:rPr>
          <w:i/>
          <w:color w:val="000000"/>
          <w:sz w:val="28"/>
          <w:szCs w:val="28"/>
        </w:rPr>
        <w:t xml:space="preserve"> відповідність </w:t>
      </w:r>
      <w:r w:rsidR="001C25E1" w:rsidRPr="00BF3E40">
        <w:rPr>
          <w:color w:val="000000"/>
          <w:sz w:val="28"/>
          <w:szCs w:val="28"/>
        </w:rPr>
        <w:t>підприємства критеріям АЕО вимогам цього Кодексу – є редакційно невдалою і потребує уточнення.</w:t>
      </w:r>
    </w:p>
    <w:p w:rsidR="00741C39" w:rsidRPr="00300BA8" w:rsidRDefault="00741C39" w:rsidP="00031AA2">
      <w:pPr>
        <w:pStyle w:val="rvps2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cs="Times New Roman"/>
          <w:sz w:val="28"/>
          <w:szCs w:val="28"/>
        </w:rPr>
      </w:pPr>
      <w:r w:rsidRPr="00300BA8">
        <w:rPr>
          <w:color w:val="000000"/>
          <w:sz w:val="28"/>
          <w:szCs w:val="28"/>
        </w:rPr>
        <w:t>Згідно з п. 2 нової ч. 11 ст. 6 МК до складу Комісії входять, зокрема, «три особи, визначені Верховною Радою України за поданням комітету до предмету відання якого належать питання системи оподаткування, загальнодержавні податки і збори».</w:t>
      </w:r>
      <w:r w:rsidR="00300BA8" w:rsidRPr="00300BA8">
        <w:rPr>
          <w:color w:val="000000"/>
          <w:sz w:val="28"/>
          <w:szCs w:val="28"/>
        </w:rPr>
        <w:t xml:space="preserve"> </w:t>
      </w:r>
      <w:r w:rsidRPr="00300BA8">
        <w:rPr>
          <w:rFonts w:cs="Times New Roman"/>
          <w:sz w:val="28"/>
          <w:szCs w:val="28"/>
        </w:rPr>
        <w:t>На наш погляд, зазначен</w:t>
      </w:r>
      <w:r w:rsidR="00B92D00" w:rsidRPr="00300BA8">
        <w:rPr>
          <w:rFonts w:cs="Times New Roman"/>
          <w:sz w:val="28"/>
          <w:szCs w:val="28"/>
        </w:rPr>
        <w:t>і</w:t>
      </w:r>
      <w:r w:rsidRPr="00300BA8">
        <w:rPr>
          <w:rFonts w:cs="Times New Roman"/>
          <w:sz w:val="28"/>
          <w:szCs w:val="28"/>
        </w:rPr>
        <w:t xml:space="preserve"> повноваження Верховної Ради України та комітету Верховної Ради України не випливають із </w:t>
      </w:r>
      <w:proofErr w:type="spellStart"/>
      <w:r w:rsidRPr="00300BA8">
        <w:rPr>
          <w:rFonts w:cs="Times New Roman"/>
          <w:sz w:val="28"/>
          <w:szCs w:val="28"/>
        </w:rPr>
        <w:t>ст</w:t>
      </w:r>
      <w:r w:rsidR="00BF3E40" w:rsidRPr="00300BA8">
        <w:rPr>
          <w:rFonts w:cs="Times New Roman"/>
          <w:sz w:val="28"/>
          <w:szCs w:val="28"/>
        </w:rPr>
        <w:t>.ст</w:t>
      </w:r>
      <w:proofErr w:type="spellEnd"/>
      <w:r w:rsidR="00BF3E40" w:rsidRPr="00300BA8">
        <w:rPr>
          <w:rFonts w:cs="Times New Roman"/>
          <w:sz w:val="28"/>
          <w:szCs w:val="28"/>
        </w:rPr>
        <w:t xml:space="preserve">. </w:t>
      </w:r>
      <w:r w:rsidRPr="00300BA8">
        <w:rPr>
          <w:rFonts w:cs="Times New Roman"/>
          <w:sz w:val="28"/>
          <w:szCs w:val="28"/>
        </w:rPr>
        <w:t>85, 89</w:t>
      </w:r>
      <w:r w:rsidR="00BF3E40" w:rsidRPr="00300BA8">
        <w:rPr>
          <w:rFonts w:cs="Times New Roman"/>
          <w:sz w:val="28"/>
          <w:szCs w:val="28"/>
        </w:rPr>
        <w:t xml:space="preserve"> Конс</w:t>
      </w:r>
      <w:r w:rsidRPr="00300BA8">
        <w:rPr>
          <w:rFonts w:cs="Times New Roman"/>
          <w:sz w:val="28"/>
          <w:szCs w:val="28"/>
        </w:rPr>
        <w:t xml:space="preserve">титуції України та Закону України «Про комітети Верховної Ради України». </w:t>
      </w:r>
      <w:r w:rsidR="00B92D00" w:rsidRPr="00300BA8">
        <w:rPr>
          <w:rFonts w:cs="Times New Roman"/>
          <w:sz w:val="28"/>
          <w:szCs w:val="28"/>
        </w:rPr>
        <w:t xml:space="preserve">Зауважимо, що </w:t>
      </w:r>
      <w:r w:rsidRPr="00300BA8">
        <w:rPr>
          <w:rFonts w:cs="Times New Roman"/>
          <w:sz w:val="28"/>
          <w:szCs w:val="28"/>
        </w:rPr>
        <w:t>Конституційний Суд України неодноразово звертав увагу на неконституційність розширення законом повноважень Верховної Ради України</w:t>
      </w:r>
      <w:r w:rsidR="00B92D00" w:rsidRPr="00300BA8">
        <w:rPr>
          <w:rFonts w:cs="Times New Roman"/>
          <w:sz w:val="28"/>
          <w:szCs w:val="28"/>
        </w:rPr>
        <w:t xml:space="preserve">, наголошуючи на </w:t>
      </w:r>
      <w:r w:rsidRPr="00300BA8">
        <w:rPr>
          <w:rFonts w:cs="Times New Roman"/>
          <w:sz w:val="28"/>
          <w:szCs w:val="28"/>
        </w:rPr>
        <w:t>встановленн</w:t>
      </w:r>
      <w:r w:rsidR="00B92D00" w:rsidRPr="00300BA8">
        <w:rPr>
          <w:rFonts w:cs="Times New Roman"/>
          <w:sz w:val="28"/>
          <w:szCs w:val="28"/>
        </w:rPr>
        <w:t>і</w:t>
      </w:r>
      <w:r w:rsidRPr="00300BA8">
        <w:rPr>
          <w:rFonts w:cs="Times New Roman"/>
          <w:sz w:val="28"/>
          <w:szCs w:val="28"/>
        </w:rPr>
        <w:t xml:space="preserve"> лише Конституцією України повноважень Верховної Ради України</w:t>
      </w:r>
      <w:r w:rsidR="00B92D00" w:rsidRPr="00300BA8">
        <w:rPr>
          <w:rFonts w:cs="Times New Roman"/>
          <w:sz w:val="28"/>
          <w:szCs w:val="28"/>
        </w:rPr>
        <w:t xml:space="preserve"> (див., наприклад, р</w:t>
      </w:r>
      <w:r w:rsidRPr="00300BA8">
        <w:rPr>
          <w:rFonts w:cs="Times New Roman"/>
          <w:sz w:val="28"/>
          <w:szCs w:val="28"/>
        </w:rPr>
        <w:t>ішенн</w:t>
      </w:r>
      <w:r w:rsidR="00B92D00" w:rsidRPr="00300BA8">
        <w:rPr>
          <w:rFonts w:cs="Times New Roman"/>
          <w:sz w:val="28"/>
          <w:szCs w:val="28"/>
        </w:rPr>
        <w:t xml:space="preserve">я </w:t>
      </w:r>
      <w:r w:rsidRPr="00300BA8">
        <w:rPr>
          <w:rFonts w:cs="Times New Roman"/>
          <w:sz w:val="28"/>
          <w:szCs w:val="28"/>
        </w:rPr>
        <w:lastRenderedPageBreak/>
        <w:t xml:space="preserve">Конституційного  Суду  України  від  </w:t>
      </w:r>
      <w:r w:rsidR="00B92D00" w:rsidRPr="00300BA8">
        <w:rPr>
          <w:rFonts w:cs="Times New Roman"/>
          <w:sz w:val="28"/>
          <w:szCs w:val="28"/>
        </w:rPr>
        <w:t>0</w:t>
      </w:r>
      <w:r w:rsidRPr="00300BA8">
        <w:rPr>
          <w:rFonts w:cs="Times New Roman"/>
          <w:sz w:val="28"/>
          <w:szCs w:val="28"/>
        </w:rPr>
        <w:t>7</w:t>
      </w:r>
      <w:r w:rsidR="00B92D00" w:rsidRPr="00300BA8">
        <w:rPr>
          <w:rFonts w:cs="Times New Roman"/>
          <w:sz w:val="28"/>
          <w:szCs w:val="28"/>
        </w:rPr>
        <w:t>.04.</w:t>
      </w:r>
      <w:r w:rsidRPr="00300BA8">
        <w:rPr>
          <w:rFonts w:cs="Times New Roman"/>
          <w:sz w:val="28"/>
          <w:szCs w:val="28"/>
        </w:rPr>
        <w:t xml:space="preserve">2004 </w:t>
      </w:r>
      <w:r w:rsidR="00B92D00" w:rsidRPr="00300BA8">
        <w:rPr>
          <w:rFonts w:cs="Times New Roman"/>
          <w:sz w:val="28"/>
          <w:szCs w:val="28"/>
        </w:rPr>
        <w:t xml:space="preserve">№ </w:t>
      </w:r>
      <w:r w:rsidRPr="00300BA8">
        <w:rPr>
          <w:rFonts w:cs="Times New Roman"/>
          <w:sz w:val="28"/>
          <w:szCs w:val="28"/>
        </w:rPr>
        <w:t>9-рп/2004</w:t>
      </w:r>
      <w:r w:rsidR="00B92D00" w:rsidRPr="00300BA8">
        <w:rPr>
          <w:rFonts w:cs="Times New Roman"/>
          <w:sz w:val="28"/>
          <w:szCs w:val="28"/>
        </w:rPr>
        <w:t xml:space="preserve"> – </w:t>
      </w:r>
      <w:proofErr w:type="spellStart"/>
      <w:r w:rsidR="00B92D00" w:rsidRPr="00300BA8">
        <w:rPr>
          <w:rFonts w:cs="Times New Roman"/>
          <w:sz w:val="28"/>
          <w:szCs w:val="28"/>
        </w:rPr>
        <w:t>пп</w:t>
      </w:r>
      <w:proofErr w:type="spellEnd"/>
      <w:r w:rsidR="00B92D00" w:rsidRPr="00300BA8">
        <w:rPr>
          <w:rFonts w:cs="Times New Roman"/>
          <w:sz w:val="28"/>
          <w:szCs w:val="28"/>
        </w:rPr>
        <w:t xml:space="preserve">. </w:t>
      </w:r>
      <w:r w:rsidRPr="00300BA8">
        <w:rPr>
          <w:rFonts w:cs="Times New Roman"/>
          <w:sz w:val="28"/>
          <w:szCs w:val="28"/>
        </w:rPr>
        <w:t>4.2 п</w:t>
      </w:r>
      <w:r w:rsidR="00B92D00" w:rsidRPr="00300BA8">
        <w:rPr>
          <w:rFonts w:cs="Times New Roman"/>
          <w:sz w:val="28"/>
          <w:szCs w:val="28"/>
        </w:rPr>
        <w:t xml:space="preserve">. </w:t>
      </w:r>
      <w:r w:rsidRPr="00300BA8">
        <w:rPr>
          <w:rFonts w:cs="Times New Roman"/>
          <w:sz w:val="28"/>
          <w:szCs w:val="28"/>
        </w:rPr>
        <w:t xml:space="preserve">4 мотивувальної частини). </w:t>
      </w:r>
    </w:p>
    <w:p w:rsidR="001C25E1" w:rsidRDefault="00741C39" w:rsidP="00D27824">
      <w:pPr>
        <w:pStyle w:val="rvps2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F3E40">
        <w:rPr>
          <w:color w:val="000000"/>
          <w:sz w:val="28"/>
          <w:szCs w:val="28"/>
        </w:rPr>
        <w:t>З</w:t>
      </w:r>
      <w:r w:rsidR="001C25E1" w:rsidRPr="00BF3E40">
        <w:rPr>
          <w:color w:val="000000"/>
          <w:sz w:val="28"/>
          <w:szCs w:val="28"/>
        </w:rPr>
        <w:t>мінами до ч.</w:t>
      </w:r>
      <w:r w:rsidR="00E8589A" w:rsidRPr="00BF3E40">
        <w:rPr>
          <w:color w:val="000000"/>
          <w:sz w:val="28"/>
          <w:szCs w:val="28"/>
        </w:rPr>
        <w:t xml:space="preserve"> </w:t>
      </w:r>
      <w:r w:rsidR="001C25E1" w:rsidRPr="00BF3E40">
        <w:rPr>
          <w:color w:val="000000"/>
          <w:sz w:val="28"/>
          <w:szCs w:val="28"/>
        </w:rPr>
        <w:t>3 ст.</w:t>
      </w:r>
      <w:r w:rsidR="00E8589A" w:rsidRPr="00BF3E40">
        <w:rPr>
          <w:color w:val="000000"/>
          <w:sz w:val="28"/>
          <w:szCs w:val="28"/>
        </w:rPr>
        <w:t xml:space="preserve"> </w:t>
      </w:r>
      <w:r w:rsidR="001C25E1" w:rsidRPr="00BF3E40">
        <w:rPr>
          <w:color w:val="000000"/>
          <w:sz w:val="28"/>
          <w:szCs w:val="28"/>
        </w:rPr>
        <w:t xml:space="preserve">14 </w:t>
      </w:r>
      <w:r w:rsidR="00E8589A" w:rsidRPr="00BF3E40">
        <w:rPr>
          <w:color w:val="000000"/>
          <w:sz w:val="28"/>
          <w:szCs w:val="28"/>
        </w:rPr>
        <w:t>М</w:t>
      </w:r>
      <w:r w:rsidR="001C25E1" w:rsidRPr="00BF3E40">
        <w:rPr>
          <w:color w:val="000000"/>
          <w:sz w:val="28"/>
          <w:szCs w:val="28"/>
        </w:rPr>
        <w:t>К пропонується встановити, що підприємство відповідає критерію, визначеному п</w:t>
      </w:r>
      <w:r w:rsidR="00E8589A" w:rsidRPr="00BF3E40">
        <w:rPr>
          <w:color w:val="000000"/>
          <w:sz w:val="28"/>
          <w:szCs w:val="28"/>
        </w:rPr>
        <w:t xml:space="preserve">. </w:t>
      </w:r>
      <w:r w:rsidR="001C25E1" w:rsidRPr="00BF3E40">
        <w:rPr>
          <w:color w:val="000000"/>
          <w:sz w:val="28"/>
          <w:szCs w:val="28"/>
        </w:rPr>
        <w:t>3 ч</w:t>
      </w:r>
      <w:r w:rsidR="00E8589A" w:rsidRPr="00BF3E40">
        <w:rPr>
          <w:color w:val="000000"/>
          <w:sz w:val="28"/>
          <w:szCs w:val="28"/>
        </w:rPr>
        <w:t>. 3</w:t>
      </w:r>
      <w:r w:rsidR="001C25E1" w:rsidRPr="00BF3E40">
        <w:rPr>
          <w:color w:val="000000"/>
          <w:sz w:val="28"/>
          <w:szCs w:val="28"/>
        </w:rPr>
        <w:t xml:space="preserve"> ст</w:t>
      </w:r>
      <w:r w:rsidR="00E8589A" w:rsidRPr="00BF3E40">
        <w:rPr>
          <w:color w:val="000000"/>
          <w:sz w:val="28"/>
          <w:szCs w:val="28"/>
        </w:rPr>
        <w:t xml:space="preserve">. </w:t>
      </w:r>
      <w:r w:rsidR="001C25E1" w:rsidRPr="00BF3E40">
        <w:rPr>
          <w:color w:val="000000"/>
          <w:sz w:val="28"/>
          <w:szCs w:val="28"/>
        </w:rPr>
        <w:t>12 цього Кодексу (</w:t>
      </w:r>
      <w:r w:rsidR="003E2FEF" w:rsidRPr="00BF3E40">
        <w:rPr>
          <w:color w:val="000000"/>
          <w:sz w:val="28"/>
          <w:szCs w:val="28"/>
        </w:rPr>
        <w:t>критерію</w:t>
      </w:r>
      <w:r w:rsidR="001C25E1" w:rsidRPr="00BF3E40">
        <w:rPr>
          <w:color w:val="000000"/>
          <w:sz w:val="28"/>
          <w:szCs w:val="28"/>
        </w:rPr>
        <w:t xml:space="preserve"> фінансової стійкості), у разі</w:t>
      </w:r>
      <w:r w:rsidR="00E8589A" w:rsidRPr="00BF3E40">
        <w:rPr>
          <w:color w:val="000000"/>
          <w:sz w:val="28"/>
          <w:szCs w:val="28"/>
        </w:rPr>
        <w:t>,</w:t>
      </w:r>
      <w:r w:rsidR="001C25E1" w:rsidRPr="00BF3E40">
        <w:rPr>
          <w:color w:val="000000"/>
          <w:sz w:val="28"/>
          <w:szCs w:val="28"/>
        </w:rPr>
        <w:t xml:space="preserve"> якщо протягом календарного року, в якому проводиться оцінка відповідності підприємства цьому критерію, та попередніх трьох календарних років підприємство не мало податкового боргу, </w:t>
      </w:r>
      <w:r w:rsidR="001C25E1" w:rsidRPr="00BF3E40">
        <w:rPr>
          <w:i/>
          <w:color w:val="000000"/>
          <w:sz w:val="28"/>
          <w:szCs w:val="28"/>
        </w:rPr>
        <w:t xml:space="preserve">який перевищує десять </w:t>
      </w:r>
      <w:r w:rsidR="001C25E1" w:rsidRPr="00BF3E40">
        <w:rPr>
          <w:i/>
          <w:color w:val="000000"/>
          <w:sz w:val="28"/>
          <w:szCs w:val="28"/>
          <w:shd w:val="clear" w:color="auto" w:fill="FFFFFF"/>
        </w:rPr>
        <w:t>розмірів прожиткового мінімуму, встановленого для працездатних осіб на 1 січня відповідного календарного року.</w:t>
      </w:r>
      <w:r w:rsidR="001C25E1" w:rsidRPr="00BF3E40">
        <w:rPr>
          <w:color w:val="000000"/>
          <w:sz w:val="28"/>
          <w:szCs w:val="28"/>
          <w:shd w:val="clear" w:color="auto" w:fill="FFFFFF"/>
        </w:rPr>
        <w:t xml:space="preserve"> </w:t>
      </w:r>
      <w:r w:rsidR="00E8589A" w:rsidRPr="00BF3E40">
        <w:rPr>
          <w:color w:val="000000"/>
          <w:sz w:val="28"/>
          <w:szCs w:val="28"/>
          <w:shd w:val="clear" w:color="auto" w:fill="FFFFFF"/>
        </w:rPr>
        <w:t xml:space="preserve">Зауважимо, що </w:t>
      </w:r>
      <w:r w:rsidR="00275222" w:rsidRPr="00BF3E40">
        <w:rPr>
          <w:color w:val="000000"/>
          <w:sz w:val="28"/>
          <w:szCs w:val="28"/>
          <w:shd w:val="clear" w:color="auto" w:fill="FFFFFF"/>
        </w:rPr>
        <w:t xml:space="preserve">у супровідних до проекту документах відсутнє </w:t>
      </w:r>
      <w:r w:rsidR="00394885" w:rsidRPr="00BF3E40">
        <w:rPr>
          <w:color w:val="000000"/>
          <w:sz w:val="28"/>
          <w:szCs w:val="28"/>
          <w:shd w:val="clear" w:color="auto" w:fill="FFFFFF"/>
        </w:rPr>
        <w:t>об</w:t>
      </w:r>
      <w:r w:rsidR="00394885">
        <w:rPr>
          <w:color w:val="000000"/>
          <w:sz w:val="28"/>
          <w:szCs w:val="28"/>
          <w:shd w:val="clear" w:color="auto" w:fill="FFFFFF"/>
        </w:rPr>
        <w:t xml:space="preserve">ґрунтування </w:t>
      </w:r>
      <w:r w:rsidR="00617BE7" w:rsidRPr="00BF3E40">
        <w:rPr>
          <w:color w:val="000000"/>
          <w:sz w:val="28"/>
          <w:szCs w:val="28"/>
          <w:shd w:val="clear" w:color="auto" w:fill="FFFFFF"/>
        </w:rPr>
        <w:t>розмір</w:t>
      </w:r>
      <w:r w:rsidR="00275222" w:rsidRPr="00BF3E40">
        <w:rPr>
          <w:color w:val="000000"/>
          <w:sz w:val="28"/>
          <w:szCs w:val="28"/>
          <w:shd w:val="clear" w:color="auto" w:fill="FFFFFF"/>
        </w:rPr>
        <w:t>у</w:t>
      </w:r>
      <w:r w:rsidR="00617BE7" w:rsidRPr="00BF3E40">
        <w:rPr>
          <w:color w:val="000000"/>
          <w:sz w:val="28"/>
          <w:szCs w:val="28"/>
          <w:shd w:val="clear" w:color="auto" w:fill="FFFFFF"/>
        </w:rPr>
        <w:t xml:space="preserve"> допустимої податкової заборгованості</w:t>
      </w:r>
      <w:r w:rsidR="00275222" w:rsidRPr="00BF3E40">
        <w:rPr>
          <w:color w:val="000000"/>
          <w:sz w:val="28"/>
          <w:szCs w:val="28"/>
          <w:shd w:val="clear" w:color="auto" w:fill="FFFFFF"/>
        </w:rPr>
        <w:t>.</w:t>
      </w:r>
      <w:r w:rsidR="00E8589A" w:rsidRPr="00BF3E40">
        <w:rPr>
          <w:color w:val="000000"/>
          <w:sz w:val="28"/>
          <w:szCs w:val="28"/>
          <w:shd w:val="clear" w:color="auto" w:fill="FFFFFF"/>
        </w:rPr>
        <w:t xml:space="preserve"> </w:t>
      </w:r>
      <w:r w:rsidR="00275222" w:rsidRPr="00BF3E40">
        <w:rPr>
          <w:color w:val="000000"/>
          <w:sz w:val="28"/>
          <w:szCs w:val="28"/>
          <w:shd w:val="clear" w:color="auto" w:fill="FFFFFF"/>
        </w:rPr>
        <w:t xml:space="preserve">З положень пояснювальної записки можна лише зробити висновок, що у запропонованому обсязі податковий борг автором проекту оцінюється як незначний (п. 1). </w:t>
      </w:r>
      <w:r w:rsidR="00E8589A" w:rsidRPr="00BF3E40">
        <w:rPr>
          <w:color w:val="000000"/>
          <w:sz w:val="28"/>
          <w:szCs w:val="28"/>
          <w:shd w:val="clear" w:color="auto" w:fill="FFFFFF"/>
        </w:rPr>
        <w:t>Крім того, у проекті н</w:t>
      </w:r>
      <w:r w:rsidR="00617BE7" w:rsidRPr="00BF3E40">
        <w:rPr>
          <w:color w:val="000000"/>
          <w:sz w:val="28"/>
          <w:szCs w:val="28"/>
          <w:shd w:val="clear" w:color="auto" w:fill="FFFFFF"/>
        </w:rPr>
        <w:t>е визначен</w:t>
      </w:r>
      <w:r w:rsidR="003E2FEF" w:rsidRPr="00BF3E40">
        <w:rPr>
          <w:color w:val="000000"/>
          <w:sz w:val="28"/>
          <w:szCs w:val="28"/>
          <w:shd w:val="clear" w:color="auto" w:fill="FFFFFF"/>
        </w:rPr>
        <w:t>о</w:t>
      </w:r>
      <w:r w:rsidR="00617BE7" w:rsidRPr="00BF3E40">
        <w:rPr>
          <w:color w:val="000000"/>
          <w:sz w:val="28"/>
          <w:szCs w:val="28"/>
          <w:shd w:val="clear" w:color="auto" w:fill="FFFFFF"/>
        </w:rPr>
        <w:t xml:space="preserve">, чи йдеться про один випадок </w:t>
      </w:r>
      <w:r w:rsidR="00E8589A" w:rsidRPr="00BF3E40">
        <w:rPr>
          <w:color w:val="000000"/>
          <w:sz w:val="28"/>
          <w:szCs w:val="28"/>
          <w:shd w:val="clear" w:color="auto" w:fill="FFFFFF"/>
        </w:rPr>
        <w:t xml:space="preserve">виникнення зазначеної </w:t>
      </w:r>
      <w:r w:rsidR="009D23DF" w:rsidRPr="00BF3E40">
        <w:rPr>
          <w:color w:val="000000"/>
          <w:sz w:val="28"/>
          <w:szCs w:val="28"/>
          <w:shd w:val="clear" w:color="auto" w:fill="FFFFFF"/>
        </w:rPr>
        <w:t xml:space="preserve">податкової </w:t>
      </w:r>
      <w:r w:rsidR="00617BE7" w:rsidRPr="00BF3E40">
        <w:rPr>
          <w:color w:val="000000"/>
          <w:sz w:val="28"/>
          <w:szCs w:val="28"/>
          <w:shd w:val="clear" w:color="auto" w:fill="FFFFFF"/>
        </w:rPr>
        <w:t xml:space="preserve">заборгованості протягом трьох років, чи про сумарну заборгованість за вказаний період, чи </w:t>
      </w:r>
      <w:r w:rsidR="009D23DF" w:rsidRPr="00BF3E40">
        <w:rPr>
          <w:color w:val="000000"/>
          <w:sz w:val="28"/>
          <w:szCs w:val="28"/>
          <w:shd w:val="clear" w:color="auto" w:fill="FFFFFF"/>
        </w:rPr>
        <w:t xml:space="preserve">враховується така заборгованість, якщо вона вже </w:t>
      </w:r>
      <w:r w:rsidR="00617BE7" w:rsidRPr="00BF3E40">
        <w:rPr>
          <w:color w:val="000000"/>
          <w:sz w:val="28"/>
          <w:szCs w:val="28"/>
          <w:shd w:val="clear" w:color="auto" w:fill="FFFFFF"/>
        </w:rPr>
        <w:t>погашена</w:t>
      </w:r>
      <w:r w:rsidR="009D23DF" w:rsidRPr="00BF3E40">
        <w:rPr>
          <w:color w:val="000000"/>
          <w:sz w:val="28"/>
          <w:szCs w:val="28"/>
          <w:shd w:val="clear" w:color="auto" w:fill="FFFFFF"/>
        </w:rPr>
        <w:t>,</w:t>
      </w:r>
      <w:r w:rsidR="00617BE7" w:rsidRPr="00BF3E40">
        <w:rPr>
          <w:color w:val="000000"/>
          <w:sz w:val="28"/>
          <w:szCs w:val="28"/>
          <w:shd w:val="clear" w:color="auto" w:fill="FFFFFF"/>
        </w:rPr>
        <w:t xml:space="preserve"> тощо.</w:t>
      </w:r>
      <w:r w:rsidR="002013EC" w:rsidRPr="00BF3E40">
        <w:rPr>
          <w:color w:val="000000"/>
          <w:sz w:val="28"/>
          <w:szCs w:val="28"/>
          <w:shd w:val="clear" w:color="auto" w:fill="FFFFFF"/>
        </w:rPr>
        <w:t xml:space="preserve"> Неврегульованість зазначених питань викликатиме відповідні складнощі у правозастосуванні.</w:t>
      </w:r>
    </w:p>
    <w:p w:rsidR="00F071C7" w:rsidRDefault="00F071C7" w:rsidP="009547D8">
      <w:pPr>
        <w:pStyle w:val="rvps2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1" w:firstLine="708"/>
        <w:jc w:val="both"/>
        <w:rPr>
          <w:i/>
          <w:color w:val="000000"/>
          <w:sz w:val="28"/>
          <w:szCs w:val="28"/>
        </w:rPr>
      </w:pPr>
      <w:r w:rsidRPr="00452BDF">
        <w:rPr>
          <w:color w:val="000000"/>
          <w:sz w:val="28"/>
          <w:szCs w:val="28"/>
          <w:shd w:val="clear" w:color="auto" w:fill="FFFFFF"/>
        </w:rPr>
        <w:t>До ч.</w:t>
      </w:r>
      <w:r w:rsidR="00983BB3" w:rsidRPr="00452BDF">
        <w:rPr>
          <w:color w:val="000000"/>
          <w:sz w:val="28"/>
          <w:szCs w:val="28"/>
          <w:shd w:val="clear" w:color="auto" w:fill="FFFFFF"/>
        </w:rPr>
        <w:t xml:space="preserve"> </w:t>
      </w:r>
      <w:r w:rsidRPr="00452BDF">
        <w:rPr>
          <w:color w:val="000000"/>
          <w:sz w:val="28"/>
          <w:szCs w:val="28"/>
          <w:shd w:val="clear" w:color="auto" w:fill="FFFFFF"/>
        </w:rPr>
        <w:t>6 ст.</w:t>
      </w:r>
      <w:r w:rsidR="00983BB3" w:rsidRPr="00452BDF">
        <w:rPr>
          <w:color w:val="000000"/>
          <w:sz w:val="28"/>
          <w:szCs w:val="28"/>
          <w:shd w:val="clear" w:color="auto" w:fill="FFFFFF"/>
        </w:rPr>
        <w:t xml:space="preserve"> </w:t>
      </w:r>
      <w:r w:rsidRPr="00452BDF">
        <w:rPr>
          <w:color w:val="000000"/>
          <w:sz w:val="28"/>
          <w:szCs w:val="28"/>
          <w:shd w:val="clear" w:color="auto" w:fill="FFFFFF"/>
        </w:rPr>
        <w:t xml:space="preserve">309 </w:t>
      </w:r>
      <w:r w:rsidR="00983BB3" w:rsidRPr="00452BDF">
        <w:rPr>
          <w:color w:val="000000"/>
          <w:sz w:val="28"/>
          <w:szCs w:val="28"/>
          <w:shd w:val="clear" w:color="auto" w:fill="FFFFFF"/>
        </w:rPr>
        <w:t>М</w:t>
      </w:r>
      <w:r w:rsidRPr="00452BDF">
        <w:rPr>
          <w:color w:val="000000"/>
          <w:sz w:val="28"/>
          <w:szCs w:val="28"/>
          <w:shd w:val="clear" w:color="auto" w:fill="FFFFFF"/>
        </w:rPr>
        <w:t>К</w:t>
      </w:r>
      <w:r w:rsidRPr="00452BDF">
        <w:rPr>
          <w:color w:val="000000"/>
          <w:sz w:val="28"/>
          <w:szCs w:val="28"/>
        </w:rPr>
        <w:t xml:space="preserve"> передбачається внесення змін</w:t>
      </w:r>
      <w:r w:rsidR="003E2FEF" w:rsidRPr="00452BDF">
        <w:rPr>
          <w:color w:val="000000"/>
          <w:sz w:val="28"/>
          <w:szCs w:val="28"/>
        </w:rPr>
        <w:t>, що визначають</w:t>
      </w:r>
      <w:r w:rsidRPr="00452BDF">
        <w:rPr>
          <w:color w:val="000000"/>
          <w:sz w:val="28"/>
          <w:szCs w:val="28"/>
        </w:rPr>
        <w:t xml:space="preserve"> розмір базової суми загальної фінансової гарантії АЕО, яка «</w:t>
      </w:r>
      <w:r w:rsidRPr="00452BDF">
        <w:rPr>
          <w:i/>
          <w:color w:val="000000"/>
          <w:sz w:val="28"/>
          <w:szCs w:val="28"/>
        </w:rPr>
        <w:t>не може бути меншою еквівалента:</w:t>
      </w:r>
    </w:p>
    <w:p w:rsidR="00F071C7" w:rsidRDefault="00F071C7" w:rsidP="00B66D5C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rFonts w:cs="Times New Roman"/>
          <w:i/>
          <w:sz w:val="28"/>
          <w:szCs w:val="28"/>
        </w:rPr>
      </w:pPr>
      <w:r w:rsidRPr="00B66D5C">
        <w:rPr>
          <w:i/>
          <w:color w:val="000000"/>
          <w:sz w:val="28"/>
          <w:szCs w:val="28"/>
        </w:rPr>
        <w:t xml:space="preserve">- </w:t>
      </w:r>
      <w:r w:rsidRPr="00B66D5C">
        <w:rPr>
          <w:i/>
          <w:color w:val="000000"/>
          <w:sz w:val="28"/>
          <w:szCs w:val="28"/>
          <w:shd w:val="clear" w:color="auto" w:fill="FFFFFF"/>
        </w:rPr>
        <w:t> </w:t>
      </w:r>
      <w:r w:rsidRPr="00B66D5C">
        <w:rPr>
          <w:i/>
          <w:sz w:val="28"/>
          <w:szCs w:val="28"/>
        </w:rPr>
        <w:t xml:space="preserve">2 000 000 євро (крім </w:t>
      </w:r>
      <w:r w:rsidRPr="00B66D5C">
        <w:rPr>
          <w:rFonts w:cs="Times New Roman"/>
          <w:i/>
          <w:sz w:val="28"/>
          <w:szCs w:val="28"/>
        </w:rPr>
        <w:t>виробників та експортерів (імпортерів) у значенні, наведеному у частині першій статті 12 цього Кодексу);</w:t>
      </w:r>
    </w:p>
    <w:p w:rsidR="00F071C7" w:rsidRDefault="00F071C7" w:rsidP="00B66D5C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BF3E40">
        <w:rPr>
          <w:i/>
          <w:color w:val="000000"/>
          <w:sz w:val="28"/>
          <w:szCs w:val="28"/>
        </w:rPr>
        <w:t xml:space="preserve">- </w:t>
      </w:r>
      <w:r w:rsidRPr="00BF3E40">
        <w:rPr>
          <w:i/>
          <w:sz w:val="28"/>
          <w:szCs w:val="28"/>
        </w:rPr>
        <w:t xml:space="preserve">400 000 євро для </w:t>
      </w:r>
      <w:r w:rsidRPr="00BF3E40">
        <w:rPr>
          <w:rFonts w:cs="Times New Roman"/>
          <w:i/>
          <w:sz w:val="28"/>
          <w:szCs w:val="28"/>
        </w:rPr>
        <w:t>виробників та експортерів (імпортерів) у значенні, наведеному у частині першій статті 12 цього Кодексу</w:t>
      </w:r>
      <w:r w:rsidRPr="00BF3E40">
        <w:rPr>
          <w:i/>
          <w:sz w:val="28"/>
          <w:szCs w:val="28"/>
        </w:rPr>
        <w:t>.</w:t>
      </w:r>
    </w:p>
    <w:p w:rsidR="00F071C7" w:rsidRDefault="00F071C7" w:rsidP="00B66D5C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F3E40">
        <w:rPr>
          <w:i/>
          <w:color w:val="000000"/>
          <w:sz w:val="28"/>
          <w:szCs w:val="28"/>
        </w:rPr>
        <w:t>Базова сума загальної фінансової гарантії повинна діяти не менше одного року з моменту останнього дня її використання та може бути зменшена у випадках, передбачених цією частиною</w:t>
      </w:r>
      <w:r w:rsidRPr="00BF3E40">
        <w:rPr>
          <w:color w:val="000000"/>
          <w:sz w:val="28"/>
          <w:szCs w:val="28"/>
        </w:rPr>
        <w:t>».</w:t>
      </w:r>
    </w:p>
    <w:p w:rsidR="00E35089" w:rsidRDefault="006F1631" w:rsidP="00B66D5C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F3E40">
        <w:rPr>
          <w:color w:val="000000"/>
          <w:sz w:val="28"/>
          <w:szCs w:val="28"/>
        </w:rPr>
        <w:t>Зв</w:t>
      </w:r>
      <w:r w:rsidR="00F071C7" w:rsidRPr="00BF3E40">
        <w:rPr>
          <w:color w:val="000000"/>
          <w:sz w:val="28"/>
          <w:szCs w:val="28"/>
        </w:rPr>
        <w:t>ертає</w:t>
      </w:r>
      <w:r w:rsidRPr="00BF3E40">
        <w:rPr>
          <w:color w:val="000000"/>
          <w:sz w:val="28"/>
          <w:szCs w:val="28"/>
        </w:rPr>
        <w:t>мо</w:t>
      </w:r>
      <w:r w:rsidR="00F071C7" w:rsidRPr="00BF3E40">
        <w:rPr>
          <w:color w:val="000000"/>
          <w:sz w:val="28"/>
          <w:szCs w:val="28"/>
        </w:rPr>
        <w:t xml:space="preserve"> увагу, що згідно з </w:t>
      </w:r>
      <w:proofErr w:type="spellStart"/>
      <w:r w:rsidR="00F071C7" w:rsidRPr="00BF3E40">
        <w:rPr>
          <w:color w:val="000000"/>
          <w:sz w:val="28"/>
          <w:szCs w:val="28"/>
        </w:rPr>
        <w:t>абз</w:t>
      </w:r>
      <w:proofErr w:type="spellEnd"/>
      <w:r w:rsidR="00F071C7" w:rsidRPr="00BF3E40">
        <w:rPr>
          <w:color w:val="000000"/>
          <w:sz w:val="28"/>
          <w:szCs w:val="28"/>
        </w:rPr>
        <w:t>. 3 ч.</w:t>
      </w:r>
      <w:r w:rsidRPr="00BF3E40">
        <w:rPr>
          <w:color w:val="000000"/>
          <w:sz w:val="28"/>
          <w:szCs w:val="28"/>
        </w:rPr>
        <w:t xml:space="preserve"> </w:t>
      </w:r>
      <w:r w:rsidR="00F071C7" w:rsidRPr="00BF3E40">
        <w:rPr>
          <w:color w:val="000000"/>
          <w:sz w:val="28"/>
          <w:szCs w:val="28"/>
        </w:rPr>
        <w:t xml:space="preserve">6 ст. 309 </w:t>
      </w:r>
      <w:r w:rsidRPr="00BF3E40">
        <w:rPr>
          <w:color w:val="000000"/>
          <w:sz w:val="28"/>
          <w:szCs w:val="28"/>
        </w:rPr>
        <w:t>МК</w:t>
      </w:r>
      <w:r w:rsidR="00F071C7" w:rsidRPr="00BF3E40">
        <w:rPr>
          <w:color w:val="000000"/>
          <w:sz w:val="28"/>
          <w:szCs w:val="28"/>
        </w:rPr>
        <w:t xml:space="preserve"> п</w:t>
      </w:r>
      <w:r w:rsidR="00F071C7" w:rsidRPr="00BF3E40">
        <w:rPr>
          <w:color w:val="000000"/>
          <w:sz w:val="28"/>
          <w:szCs w:val="28"/>
          <w:shd w:val="clear" w:color="auto" w:fill="FFFFFF"/>
        </w:rPr>
        <w:t xml:space="preserve">опередній розрахунок базової суми загальної фінансової гарантії здійснюється АЕО самостійно </w:t>
      </w:r>
      <w:r w:rsidR="00F071C7" w:rsidRPr="00BF3E40">
        <w:rPr>
          <w:i/>
          <w:color w:val="000000"/>
          <w:sz w:val="28"/>
          <w:szCs w:val="28"/>
          <w:u w:val="single"/>
          <w:shd w:val="clear" w:color="auto" w:fill="FFFFFF"/>
        </w:rPr>
        <w:t>з урахуванням обсягу майбутніх операцій</w:t>
      </w:r>
      <w:r w:rsidR="00F071C7" w:rsidRPr="00BF3E40">
        <w:rPr>
          <w:color w:val="000000"/>
          <w:sz w:val="28"/>
          <w:szCs w:val="28"/>
          <w:shd w:val="clear" w:color="auto" w:fill="FFFFFF"/>
        </w:rPr>
        <w:t xml:space="preserve">. Тобто, базова сума загальної фінансової гарантії залежить від обсягу майбутніх операції АЕО. У зв’язку з цим, запропоновані у законопроекті розміри </w:t>
      </w:r>
      <w:r w:rsidR="00FC06DC" w:rsidRPr="00BF3E40">
        <w:rPr>
          <w:color w:val="000000"/>
          <w:sz w:val="28"/>
          <w:szCs w:val="28"/>
          <w:shd w:val="clear" w:color="auto" w:fill="FFFFFF"/>
        </w:rPr>
        <w:t>потребують економічного обґрунтування</w:t>
      </w:r>
      <w:r w:rsidR="003E2FEF" w:rsidRPr="00BF3E40">
        <w:rPr>
          <w:color w:val="000000"/>
          <w:sz w:val="28"/>
          <w:szCs w:val="28"/>
          <w:shd w:val="clear" w:color="auto" w:fill="FFFFFF"/>
        </w:rPr>
        <w:t xml:space="preserve"> їх прийнятності</w:t>
      </w:r>
      <w:r w:rsidR="006E5866" w:rsidRPr="00BF3E40">
        <w:rPr>
          <w:color w:val="000000"/>
          <w:sz w:val="28"/>
          <w:szCs w:val="28"/>
          <w:shd w:val="clear" w:color="auto" w:fill="FFFFFF"/>
        </w:rPr>
        <w:t xml:space="preserve">. Що стосується формулювання </w:t>
      </w:r>
      <w:r w:rsidR="00E35089" w:rsidRPr="00BF3E40">
        <w:rPr>
          <w:color w:val="000000"/>
          <w:sz w:val="28"/>
          <w:szCs w:val="28"/>
          <w:shd w:val="clear" w:color="auto" w:fill="FFFFFF"/>
        </w:rPr>
        <w:t>«б</w:t>
      </w:r>
      <w:r w:rsidR="00E35089" w:rsidRPr="00BF3E40">
        <w:rPr>
          <w:color w:val="000000"/>
          <w:sz w:val="28"/>
          <w:szCs w:val="28"/>
        </w:rPr>
        <w:t xml:space="preserve">азова сума загальної фінансової гарантії </w:t>
      </w:r>
      <w:r w:rsidR="00E35089" w:rsidRPr="00BF3E40">
        <w:rPr>
          <w:i/>
          <w:color w:val="000000"/>
          <w:sz w:val="28"/>
          <w:szCs w:val="28"/>
        </w:rPr>
        <w:t xml:space="preserve">повинна діяти не менше одного року </w:t>
      </w:r>
      <w:r w:rsidR="00E35089" w:rsidRPr="00BF3E40">
        <w:rPr>
          <w:i/>
          <w:color w:val="000000"/>
          <w:sz w:val="28"/>
          <w:szCs w:val="28"/>
          <w:u w:val="single"/>
        </w:rPr>
        <w:t>з моменту останнього дня її використання</w:t>
      </w:r>
      <w:r w:rsidR="00E35089" w:rsidRPr="00BF3E40">
        <w:rPr>
          <w:color w:val="000000"/>
          <w:sz w:val="28"/>
          <w:szCs w:val="28"/>
        </w:rPr>
        <w:t>», то вказана норма потребує редакційних уточнень, які дозволили б розкрити її зміст: чи мається на увазі строк, на який визначений розмір базової суми загальної фінансової гарантії, чи строк, на який видана загальна фінансова гарантія</w:t>
      </w:r>
      <w:r w:rsidR="00B66D5C">
        <w:rPr>
          <w:color w:val="000000"/>
          <w:sz w:val="28"/>
          <w:szCs w:val="28"/>
        </w:rPr>
        <w:t>;</w:t>
      </w:r>
      <w:r w:rsidR="00E35089" w:rsidRPr="00BF3E40">
        <w:rPr>
          <w:color w:val="000000"/>
          <w:sz w:val="28"/>
          <w:szCs w:val="28"/>
        </w:rPr>
        <w:t xml:space="preserve"> що слід розуміти під м</w:t>
      </w:r>
      <w:r w:rsidR="003E2FEF" w:rsidRPr="00BF3E40">
        <w:rPr>
          <w:color w:val="000000"/>
          <w:sz w:val="28"/>
          <w:szCs w:val="28"/>
        </w:rPr>
        <w:t>оментом останнього дня її викор</w:t>
      </w:r>
      <w:r w:rsidR="00E35089" w:rsidRPr="00BF3E40">
        <w:rPr>
          <w:color w:val="000000"/>
          <w:sz w:val="28"/>
          <w:szCs w:val="28"/>
        </w:rPr>
        <w:t>истання</w:t>
      </w:r>
      <w:r w:rsidR="00B66D5C">
        <w:rPr>
          <w:color w:val="000000"/>
          <w:sz w:val="28"/>
          <w:szCs w:val="28"/>
        </w:rPr>
        <w:t>.</w:t>
      </w:r>
    </w:p>
    <w:p w:rsidR="00005AA5" w:rsidRDefault="00E733EC" w:rsidP="00B66D5C">
      <w:pPr>
        <w:pStyle w:val="rvps2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Згідно з оновленим </w:t>
      </w:r>
      <w:proofErr w:type="spellStart"/>
      <w:r>
        <w:rPr>
          <w:color w:val="000000"/>
          <w:sz w:val="28"/>
          <w:szCs w:val="28"/>
        </w:rPr>
        <w:t>абз</w:t>
      </w:r>
      <w:proofErr w:type="spellEnd"/>
      <w:r>
        <w:rPr>
          <w:color w:val="000000"/>
          <w:sz w:val="28"/>
          <w:szCs w:val="28"/>
        </w:rPr>
        <w:t xml:space="preserve">. 1 </w:t>
      </w:r>
      <w:r w:rsidR="007B4A01" w:rsidRPr="00BF3E40">
        <w:rPr>
          <w:color w:val="000000"/>
          <w:sz w:val="28"/>
          <w:szCs w:val="28"/>
        </w:rPr>
        <w:t>ч.</w:t>
      </w:r>
      <w:r w:rsidR="00EF5428">
        <w:rPr>
          <w:color w:val="000000"/>
          <w:sz w:val="28"/>
          <w:szCs w:val="28"/>
        </w:rPr>
        <w:t xml:space="preserve"> </w:t>
      </w:r>
      <w:r w:rsidR="007B4A01" w:rsidRPr="00BF3E40">
        <w:rPr>
          <w:color w:val="000000"/>
          <w:sz w:val="28"/>
          <w:szCs w:val="28"/>
        </w:rPr>
        <w:t xml:space="preserve">1 ст. 314 </w:t>
      </w:r>
      <w:r w:rsidR="00EF5428">
        <w:rPr>
          <w:color w:val="000000"/>
          <w:sz w:val="28"/>
          <w:szCs w:val="28"/>
        </w:rPr>
        <w:t>М</w:t>
      </w:r>
      <w:r w:rsidR="007B4A01" w:rsidRPr="00BF3E40">
        <w:rPr>
          <w:color w:val="000000"/>
          <w:sz w:val="28"/>
          <w:szCs w:val="28"/>
        </w:rPr>
        <w:t>К</w:t>
      </w:r>
      <w:r w:rsidR="00EF5428">
        <w:rPr>
          <w:color w:val="000000"/>
          <w:sz w:val="28"/>
          <w:szCs w:val="28"/>
        </w:rPr>
        <w:t xml:space="preserve"> </w:t>
      </w:r>
      <w:r w:rsidR="007B4A01" w:rsidRPr="00BF3E40">
        <w:rPr>
          <w:color w:val="000000"/>
          <w:sz w:val="28"/>
          <w:szCs w:val="28"/>
        </w:rPr>
        <w:t xml:space="preserve">«загальну фінансову гарантію для АЕО мають право надавати </w:t>
      </w:r>
      <w:r w:rsidR="007B4A01" w:rsidRPr="00BF3E40">
        <w:rPr>
          <w:sz w:val="28"/>
          <w:szCs w:val="28"/>
        </w:rPr>
        <w:t xml:space="preserve">виключно системно важливі банки». </w:t>
      </w:r>
      <w:r w:rsidR="00EF5428">
        <w:rPr>
          <w:sz w:val="28"/>
          <w:szCs w:val="28"/>
        </w:rPr>
        <w:t>З</w:t>
      </w:r>
      <w:r w:rsidR="007B4A01" w:rsidRPr="00BF3E40">
        <w:rPr>
          <w:sz w:val="28"/>
          <w:szCs w:val="28"/>
        </w:rPr>
        <w:t>гідно</w:t>
      </w:r>
      <w:r w:rsidR="00EF5428">
        <w:rPr>
          <w:sz w:val="28"/>
          <w:szCs w:val="28"/>
        </w:rPr>
        <w:t xml:space="preserve"> ж</w:t>
      </w:r>
      <w:r w:rsidR="007B4A01" w:rsidRPr="00BF3E40">
        <w:rPr>
          <w:sz w:val="28"/>
          <w:szCs w:val="28"/>
        </w:rPr>
        <w:t xml:space="preserve"> з </w:t>
      </w:r>
      <w:r w:rsidR="00EF5428">
        <w:rPr>
          <w:sz w:val="28"/>
          <w:szCs w:val="28"/>
        </w:rPr>
        <w:t>чинною нормою г</w:t>
      </w:r>
      <w:r w:rsidR="007B4A01" w:rsidRPr="00BF3E40">
        <w:rPr>
          <w:rFonts w:cs="Times New Roman"/>
          <w:color w:val="000000"/>
          <w:sz w:val="28"/>
          <w:szCs w:val="28"/>
        </w:rPr>
        <w:t xml:space="preserve">арантом може виступати </w:t>
      </w:r>
      <w:bookmarkStart w:id="6" w:name="n2613"/>
      <w:bookmarkEnd w:id="6"/>
      <w:r w:rsidR="007B4A01" w:rsidRPr="00BF3E40">
        <w:rPr>
          <w:i/>
          <w:color w:val="000000"/>
          <w:sz w:val="28"/>
          <w:szCs w:val="28"/>
        </w:rPr>
        <w:t>банківська установа</w:t>
      </w:r>
      <w:r w:rsidR="007B4A01" w:rsidRPr="00BF3E40">
        <w:rPr>
          <w:color w:val="000000"/>
          <w:sz w:val="28"/>
          <w:szCs w:val="28"/>
        </w:rPr>
        <w:t xml:space="preserve">, яка надає гарантії безпосередньо або може застосовувати їх як фінансове </w:t>
      </w:r>
      <w:r w:rsidR="007B4A01" w:rsidRPr="00BF3E40">
        <w:rPr>
          <w:color w:val="000000"/>
          <w:sz w:val="28"/>
          <w:szCs w:val="28"/>
        </w:rPr>
        <w:lastRenderedPageBreak/>
        <w:t>забезпечення гарантій, що надаються митним органам незалежними фінансовими посередниками</w:t>
      </w:r>
      <w:r w:rsidR="00EF5428">
        <w:rPr>
          <w:color w:val="000000"/>
          <w:sz w:val="28"/>
          <w:szCs w:val="28"/>
        </w:rPr>
        <w:t>,</w:t>
      </w:r>
      <w:r w:rsidR="007B4A01" w:rsidRPr="00BF3E40">
        <w:rPr>
          <w:color w:val="000000"/>
          <w:sz w:val="28"/>
          <w:szCs w:val="28"/>
        </w:rPr>
        <w:t xml:space="preserve"> та</w:t>
      </w:r>
      <w:bookmarkStart w:id="7" w:name="n2614"/>
      <w:bookmarkEnd w:id="7"/>
      <w:r w:rsidR="007B4A01" w:rsidRPr="00BF3E40">
        <w:rPr>
          <w:color w:val="000000"/>
          <w:sz w:val="28"/>
          <w:szCs w:val="28"/>
        </w:rPr>
        <w:t xml:space="preserve"> </w:t>
      </w:r>
      <w:r w:rsidR="007B4A01" w:rsidRPr="00BF3E40">
        <w:rPr>
          <w:i/>
          <w:color w:val="000000"/>
          <w:sz w:val="28"/>
          <w:szCs w:val="28"/>
        </w:rPr>
        <w:t>незалежний фінансовий посередник</w:t>
      </w:r>
      <w:r w:rsidR="007B4A01" w:rsidRPr="00BF3E40">
        <w:rPr>
          <w:color w:val="000000"/>
          <w:sz w:val="28"/>
          <w:szCs w:val="28"/>
        </w:rPr>
        <w:t xml:space="preserve"> </w:t>
      </w:r>
      <w:r w:rsidR="00EF5428">
        <w:rPr>
          <w:color w:val="000000"/>
          <w:sz w:val="28"/>
          <w:szCs w:val="28"/>
        </w:rPr>
        <w:t>–</w:t>
      </w:r>
      <w:r w:rsidR="007B4A01" w:rsidRPr="00BF3E40">
        <w:rPr>
          <w:color w:val="000000"/>
          <w:sz w:val="28"/>
          <w:szCs w:val="28"/>
        </w:rPr>
        <w:t xml:space="preserve"> юридична особа, створена у формі повного або командитного товариства. </w:t>
      </w:r>
      <w:bookmarkStart w:id="8" w:name="n2615"/>
      <w:bookmarkEnd w:id="8"/>
      <w:r w:rsidR="007B4A01" w:rsidRPr="00BF3E40">
        <w:rPr>
          <w:color w:val="000000"/>
          <w:sz w:val="28"/>
          <w:szCs w:val="28"/>
        </w:rPr>
        <w:t xml:space="preserve">Крім цього, банківська чи інша установа повинна одержати від центрального органу виконавчої влади, що реалізує державну митну політику, повноваження гаранта, а також відповідати критеріям, визначеним Кодексом. Передбачене законопроектом звуження кола осіб, що можуть надавати загальну фінансову гарантію АЕО, на думку Головного управління, може суттєво звузити коло потенційних АЕО. </w:t>
      </w:r>
      <w:r w:rsidR="00005AA5" w:rsidRPr="00BF3E40">
        <w:rPr>
          <w:color w:val="000000"/>
          <w:sz w:val="28"/>
          <w:szCs w:val="28"/>
        </w:rPr>
        <w:t>Також запропоноване обмеження потребує аргументації щодо ненадійності гарантій, виданих банками, не віднесеними до системно важливих, та незалежними фінансовими посередниками.</w:t>
      </w:r>
    </w:p>
    <w:p w:rsidR="0067462A" w:rsidRPr="0067462A" w:rsidRDefault="00005AA5" w:rsidP="00E15F6C">
      <w:pPr>
        <w:pStyle w:val="rvps2"/>
        <w:numPr>
          <w:ilvl w:val="0"/>
          <w:numId w:val="2"/>
        </w:numPr>
        <w:shd w:val="clear" w:color="auto" w:fill="FFFFFF" w:themeFill="background1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cs="Times New Roman"/>
          <w:sz w:val="28"/>
          <w:szCs w:val="28"/>
        </w:rPr>
      </w:pPr>
      <w:r w:rsidRPr="002347F4">
        <w:rPr>
          <w:color w:val="000000"/>
          <w:sz w:val="28"/>
          <w:szCs w:val="28"/>
        </w:rPr>
        <w:t>З</w:t>
      </w:r>
      <w:r w:rsidR="00FB121A">
        <w:rPr>
          <w:color w:val="000000"/>
          <w:sz w:val="28"/>
          <w:szCs w:val="28"/>
        </w:rPr>
        <w:t>мінами д</w:t>
      </w:r>
      <w:r w:rsidRPr="002347F4">
        <w:rPr>
          <w:color w:val="000000"/>
          <w:sz w:val="28"/>
          <w:szCs w:val="28"/>
        </w:rPr>
        <w:t>о ч.</w:t>
      </w:r>
      <w:r w:rsidR="00FB121A">
        <w:rPr>
          <w:color w:val="000000"/>
          <w:sz w:val="28"/>
          <w:szCs w:val="28"/>
        </w:rPr>
        <w:t xml:space="preserve"> </w:t>
      </w:r>
      <w:r w:rsidRPr="002347F4">
        <w:rPr>
          <w:color w:val="000000"/>
          <w:sz w:val="28"/>
          <w:szCs w:val="28"/>
        </w:rPr>
        <w:t xml:space="preserve">2 ст. 314 </w:t>
      </w:r>
      <w:r w:rsidR="00FB121A">
        <w:rPr>
          <w:color w:val="000000"/>
          <w:sz w:val="28"/>
          <w:szCs w:val="28"/>
        </w:rPr>
        <w:t>М</w:t>
      </w:r>
      <w:r w:rsidRPr="002347F4">
        <w:rPr>
          <w:color w:val="000000"/>
          <w:sz w:val="28"/>
          <w:szCs w:val="28"/>
        </w:rPr>
        <w:t>К</w:t>
      </w:r>
      <w:r w:rsidR="00FB121A">
        <w:rPr>
          <w:color w:val="000000"/>
          <w:sz w:val="28"/>
          <w:szCs w:val="28"/>
        </w:rPr>
        <w:t xml:space="preserve"> </w:t>
      </w:r>
      <w:r w:rsidRPr="002347F4">
        <w:rPr>
          <w:sz w:val="28"/>
          <w:szCs w:val="28"/>
        </w:rPr>
        <w:t>виключ</w:t>
      </w:r>
      <w:r w:rsidR="00FB121A">
        <w:rPr>
          <w:sz w:val="28"/>
          <w:szCs w:val="28"/>
        </w:rPr>
        <w:t>аються норми щ</w:t>
      </w:r>
      <w:r w:rsidRPr="002347F4">
        <w:rPr>
          <w:sz w:val="28"/>
          <w:szCs w:val="28"/>
        </w:rPr>
        <w:t>одо обов’язкової наявності у гаранта електронної системи накопичення і обміну інформацією з органами доходів і зборів та уповноважених представників у всіх пунктах пропуску через державний кордон (</w:t>
      </w:r>
      <w:proofErr w:type="spellStart"/>
      <w:r w:rsidR="00FB121A">
        <w:rPr>
          <w:sz w:val="28"/>
          <w:szCs w:val="28"/>
        </w:rPr>
        <w:t>п.п</w:t>
      </w:r>
      <w:proofErr w:type="spellEnd"/>
      <w:r w:rsidR="00FB121A">
        <w:rPr>
          <w:sz w:val="28"/>
          <w:szCs w:val="28"/>
        </w:rPr>
        <w:t xml:space="preserve">. </w:t>
      </w:r>
      <w:r w:rsidRPr="002347F4">
        <w:rPr>
          <w:sz w:val="28"/>
          <w:szCs w:val="28"/>
        </w:rPr>
        <w:t>9, 10 ч.</w:t>
      </w:r>
      <w:r w:rsidR="00FB121A">
        <w:rPr>
          <w:sz w:val="28"/>
          <w:szCs w:val="28"/>
        </w:rPr>
        <w:t xml:space="preserve"> </w:t>
      </w:r>
      <w:r w:rsidRPr="002347F4">
        <w:rPr>
          <w:sz w:val="28"/>
          <w:szCs w:val="28"/>
        </w:rPr>
        <w:t>2 ст.</w:t>
      </w:r>
      <w:r w:rsidR="00FB121A">
        <w:rPr>
          <w:sz w:val="28"/>
          <w:szCs w:val="28"/>
        </w:rPr>
        <w:t xml:space="preserve"> </w:t>
      </w:r>
      <w:r w:rsidRPr="002347F4">
        <w:rPr>
          <w:sz w:val="28"/>
          <w:szCs w:val="28"/>
        </w:rPr>
        <w:t>314</w:t>
      </w:r>
      <w:r w:rsidR="00FB121A">
        <w:rPr>
          <w:sz w:val="28"/>
          <w:szCs w:val="28"/>
        </w:rPr>
        <w:t xml:space="preserve"> МК</w:t>
      </w:r>
      <w:r w:rsidRPr="002347F4">
        <w:rPr>
          <w:sz w:val="28"/>
          <w:szCs w:val="28"/>
        </w:rPr>
        <w:t xml:space="preserve">). </w:t>
      </w:r>
    </w:p>
    <w:p w:rsidR="00140097" w:rsidRPr="002347F4" w:rsidRDefault="00FB121A" w:rsidP="0067462A">
      <w:pPr>
        <w:pStyle w:val="rvps2"/>
        <w:shd w:val="clear" w:color="auto" w:fill="FFFFFF" w:themeFill="background1"/>
        <w:tabs>
          <w:tab w:val="left" w:pos="993"/>
        </w:tabs>
        <w:spacing w:before="0" w:beforeAutospacing="0" w:after="0" w:afterAutospacing="0"/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З</w:t>
      </w:r>
      <w:r w:rsidR="00005AA5" w:rsidRPr="002347F4">
        <w:rPr>
          <w:sz w:val="28"/>
          <w:szCs w:val="28"/>
        </w:rPr>
        <w:t>вертає</w:t>
      </w:r>
      <w:r>
        <w:rPr>
          <w:sz w:val="28"/>
          <w:szCs w:val="28"/>
        </w:rPr>
        <w:t>мо</w:t>
      </w:r>
      <w:r w:rsidR="00005AA5" w:rsidRPr="002347F4">
        <w:rPr>
          <w:sz w:val="28"/>
          <w:szCs w:val="28"/>
        </w:rPr>
        <w:t xml:space="preserve"> увагу, що вказані вимоги до </w:t>
      </w:r>
      <w:r w:rsidR="00005AA5" w:rsidRPr="002347F4">
        <w:rPr>
          <w:color w:val="000000"/>
          <w:sz w:val="28"/>
          <w:szCs w:val="28"/>
        </w:rPr>
        <w:t>банківських установ, інших юридичних осіб, які мають намір одержати повноваження гаранта</w:t>
      </w:r>
      <w:r w:rsidR="00140097" w:rsidRPr="002347F4">
        <w:rPr>
          <w:color w:val="000000"/>
          <w:sz w:val="28"/>
          <w:szCs w:val="28"/>
        </w:rPr>
        <w:t>, які пропонується виключити,</w:t>
      </w:r>
      <w:r w:rsidR="00005AA5" w:rsidRPr="002347F4">
        <w:rPr>
          <w:color w:val="000000"/>
          <w:sz w:val="28"/>
          <w:szCs w:val="28"/>
        </w:rPr>
        <w:t xml:space="preserve"> кореспондуються </w:t>
      </w:r>
      <w:r w:rsidR="00140097" w:rsidRPr="002347F4">
        <w:rPr>
          <w:color w:val="000000"/>
          <w:sz w:val="28"/>
          <w:szCs w:val="28"/>
        </w:rPr>
        <w:t xml:space="preserve">з положеннями ч. 4 ст. 307 </w:t>
      </w:r>
      <w:r>
        <w:rPr>
          <w:color w:val="000000"/>
          <w:sz w:val="28"/>
          <w:szCs w:val="28"/>
        </w:rPr>
        <w:t>М</w:t>
      </w:r>
      <w:r w:rsidR="00140097" w:rsidRPr="002347F4">
        <w:rPr>
          <w:color w:val="000000"/>
          <w:sz w:val="28"/>
          <w:szCs w:val="28"/>
        </w:rPr>
        <w:t>К</w:t>
      </w:r>
      <w:r w:rsidR="00140097" w:rsidRPr="002347F4">
        <w:rPr>
          <w:sz w:val="28"/>
          <w:szCs w:val="28"/>
        </w:rPr>
        <w:t>, якими передбачено, що і</w:t>
      </w:r>
      <w:r w:rsidR="00140097" w:rsidRPr="002347F4">
        <w:rPr>
          <w:rFonts w:cs="Times New Roman"/>
          <w:sz w:val="28"/>
          <w:szCs w:val="28"/>
        </w:rPr>
        <w:t xml:space="preserve">нформаційна взаємодія між гарантами та митними органами здійснюється за допомогою засобів електронного зв’язку </w:t>
      </w:r>
      <w:r w:rsidR="00140097" w:rsidRPr="002347F4">
        <w:rPr>
          <w:rFonts w:cs="Times New Roman"/>
          <w:i/>
          <w:sz w:val="28"/>
          <w:szCs w:val="28"/>
        </w:rPr>
        <w:t>шляхом надсилання авторизованих повідомлень в електронній формі,</w:t>
      </w:r>
      <w:r w:rsidR="00140097" w:rsidRPr="002347F4">
        <w:rPr>
          <w:rFonts w:cs="Times New Roman"/>
          <w:sz w:val="28"/>
          <w:szCs w:val="28"/>
        </w:rPr>
        <w:t xml:space="preserve"> засвідчених електронним цифровим підписом гарантів та/або посадових осіб митних органів, </w:t>
      </w:r>
      <w:r w:rsidR="00140097" w:rsidRPr="002347F4">
        <w:rPr>
          <w:rFonts w:cs="Times New Roman"/>
          <w:i/>
          <w:sz w:val="28"/>
          <w:szCs w:val="28"/>
          <w:u w:val="single"/>
        </w:rPr>
        <w:t>цілодобово, з періодичністю не більше 30 хвилин</w:t>
      </w:r>
      <w:r w:rsidR="00140097" w:rsidRPr="002347F4">
        <w:rPr>
          <w:rFonts w:cs="Times New Roman"/>
          <w:sz w:val="28"/>
          <w:szCs w:val="28"/>
        </w:rPr>
        <w:t>. При здійсненні інформаційного обміну гарантам надається інформація про статус усіх отриманих фінансових гарантій, а саме про:</w:t>
      </w:r>
    </w:p>
    <w:p w:rsidR="00140097" w:rsidRPr="00BF3E40" w:rsidRDefault="00140097" w:rsidP="00140097">
      <w:pPr>
        <w:shd w:val="clear" w:color="auto" w:fill="FFFFFF" w:themeFill="background1"/>
        <w:ind w:firstLine="709"/>
        <w:jc w:val="both"/>
        <w:rPr>
          <w:rFonts w:eastAsia="Times New Roman"/>
          <w:lang w:eastAsia="uk-UA"/>
        </w:rPr>
      </w:pPr>
      <w:bookmarkStart w:id="9" w:name="n4682"/>
      <w:bookmarkEnd w:id="9"/>
      <w:r w:rsidRPr="00BF3E40">
        <w:rPr>
          <w:rFonts w:eastAsia="Times New Roman"/>
          <w:lang w:eastAsia="uk-UA"/>
        </w:rPr>
        <w:t>прийняття або відмову у прийнятті, припинення дії виданих гарантами фінансових гарантій;</w:t>
      </w:r>
    </w:p>
    <w:p w:rsidR="00140097" w:rsidRPr="00BF3E40" w:rsidRDefault="00140097" w:rsidP="00140097">
      <w:pPr>
        <w:shd w:val="clear" w:color="auto" w:fill="FFFFFF" w:themeFill="background1"/>
        <w:ind w:firstLine="709"/>
        <w:jc w:val="both"/>
        <w:rPr>
          <w:rFonts w:eastAsia="Times New Roman"/>
          <w:lang w:eastAsia="uk-UA"/>
        </w:rPr>
      </w:pPr>
      <w:bookmarkStart w:id="10" w:name="n4683"/>
      <w:bookmarkEnd w:id="10"/>
      <w:r w:rsidRPr="00BF3E40">
        <w:rPr>
          <w:rFonts w:eastAsia="Times New Roman"/>
          <w:lang w:eastAsia="uk-UA"/>
        </w:rPr>
        <w:t>реквізити (номер і дата оформлення) митних декларацій або документів контролю за переміщенням товарів, до яких прикріплені фінансові гаранті</w:t>
      </w:r>
      <w:r w:rsidR="00BA0546">
        <w:rPr>
          <w:rFonts w:eastAsia="Times New Roman"/>
          <w:lang w:eastAsia="uk-UA"/>
        </w:rPr>
        <w:t>ї</w:t>
      </w:r>
      <w:r w:rsidRPr="00BF3E40">
        <w:rPr>
          <w:rFonts w:eastAsia="Times New Roman"/>
          <w:lang w:eastAsia="uk-UA"/>
        </w:rPr>
        <w:t xml:space="preserve"> із зазначенням дати та часу прикріплення;</w:t>
      </w:r>
    </w:p>
    <w:p w:rsidR="00140097" w:rsidRPr="00BF3E40" w:rsidRDefault="00140097" w:rsidP="00140097">
      <w:pPr>
        <w:shd w:val="clear" w:color="auto" w:fill="FFFFFF" w:themeFill="background1"/>
        <w:ind w:firstLine="709"/>
        <w:jc w:val="both"/>
        <w:rPr>
          <w:rFonts w:eastAsia="Times New Roman"/>
          <w:lang w:eastAsia="uk-UA"/>
        </w:rPr>
      </w:pPr>
      <w:bookmarkStart w:id="11" w:name="n4684"/>
      <w:bookmarkEnd w:id="11"/>
      <w:r w:rsidRPr="00BF3E40">
        <w:rPr>
          <w:rFonts w:eastAsia="Times New Roman"/>
          <w:lang w:eastAsia="uk-UA"/>
        </w:rPr>
        <w:t>дату початку переміщення товарів (та/або початок переміщення кожної партії товару або її частини) із зазначенням номерів транспортних засобів, дати кінцевого строку доставки товарів до митних органів призначення, кодів товарів згідно з </w:t>
      </w:r>
      <w:hyperlink r:id="rId7" w:anchor="n3" w:tgtFrame="_blank" w:history="1">
        <w:r w:rsidRPr="00FB121A">
          <w:rPr>
            <w:rFonts w:eastAsia="Times New Roman"/>
            <w:lang w:eastAsia="uk-UA"/>
          </w:rPr>
          <w:t>УКТ ЗЕД</w:t>
        </w:r>
      </w:hyperlink>
      <w:r w:rsidRPr="00BF3E40">
        <w:rPr>
          <w:rFonts w:eastAsia="Times New Roman"/>
          <w:lang w:eastAsia="uk-UA"/>
        </w:rPr>
        <w:t>, кількість товарів (в основних та додаткових одиницях виміру), суму митних платежів;</w:t>
      </w:r>
    </w:p>
    <w:p w:rsidR="00140097" w:rsidRPr="00BF3E40" w:rsidRDefault="00140097" w:rsidP="00140097">
      <w:pPr>
        <w:shd w:val="clear" w:color="auto" w:fill="FFFFFF" w:themeFill="background1"/>
        <w:ind w:firstLine="709"/>
        <w:jc w:val="both"/>
        <w:rPr>
          <w:rFonts w:eastAsia="Times New Roman"/>
          <w:lang w:eastAsia="uk-UA"/>
        </w:rPr>
      </w:pPr>
      <w:bookmarkStart w:id="12" w:name="n4767"/>
      <w:bookmarkStart w:id="13" w:name="n4685"/>
      <w:bookmarkEnd w:id="12"/>
      <w:bookmarkEnd w:id="13"/>
      <w:r w:rsidRPr="00BF3E40">
        <w:rPr>
          <w:rFonts w:eastAsia="Times New Roman"/>
          <w:lang w:eastAsia="uk-UA"/>
        </w:rPr>
        <w:t>недостатність фінансових гарантій для оформлення митних декларацій або документів контролю за переміщенням товарів із зазначенням суми нестачі забезпечення сплати митних платежів;</w:t>
      </w:r>
    </w:p>
    <w:p w:rsidR="00140097" w:rsidRPr="00BF3E40" w:rsidRDefault="00140097" w:rsidP="00140097">
      <w:pPr>
        <w:shd w:val="clear" w:color="auto" w:fill="FFFFFF" w:themeFill="background1"/>
        <w:ind w:firstLine="709"/>
        <w:jc w:val="both"/>
        <w:rPr>
          <w:rFonts w:eastAsia="Times New Roman"/>
          <w:lang w:eastAsia="uk-UA"/>
        </w:rPr>
      </w:pPr>
      <w:bookmarkStart w:id="14" w:name="n4686"/>
      <w:bookmarkEnd w:id="14"/>
      <w:r w:rsidRPr="00BF3E40">
        <w:rPr>
          <w:rFonts w:eastAsia="Times New Roman"/>
          <w:lang w:eastAsia="uk-UA"/>
        </w:rPr>
        <w:t xml:space="preserve">номер та дату складення </w:t>
      </w:r>
      <w:proofErr w:type="spellStart"/>
      <w:r w:rsidRPr="00BF3E40">
        <w:rPr>
          <w:rFonts w:eastAsia="Times New Roman"/>
          <w:lang w:eastAsia="uk-UA"/>
        </w:rPr>
        <w:t>акта</w:t>
      </w:r>
      <w:proofErr w:type="spellEnd"/>
      <w:r w:rsidRPr="00BF3E40">
        <w:rPr>
          <w:rFonts w:eastAsia="Times New Roman"/>
          <w:lang w:eastAsia="uk-UA"/>
        </w:rPr>
        <w:t xml:space="preserve"> про настання гарантійного випадку за виданими гарантами фінансовими гарантіями;</w:t>
      </w:r>
    </w:p>
    <w:p w:rsidR="00140097" w:rsidRPr="00BF3E40" w:rsidRDefault="00140097" w:rsidP="00140097">
      <w:pPr>
        <w:shd w:val="clear" w:color="auto" w:fill="FFFFFF" w:themeFill="background1"/>
        <w:ind w:firstLine="709"/>
        <w:jc w:val="both"/>
        <w:rPr>
          <w:rFonts w:eastAsia="Times New Roman"/>
          <w:lang w:eastAsia="uk-UA"/>
        </w:rPr>
      </w:pPr>
      <w:bookmarkStart w:id="15" w:name="n4687"/>
      <w:bookmarkEnd w:id="15"/>
      <w:r w:rsidRPr="00BF3E40">
        <w:rPr>
          <w:rFonts w:eastAsia="Times New Roman"/>
          <w:lang w:eastAsia="uk-UA"/>
        </w:rPr>
        <w:t xml:space="preserve">вивільнення фінансових гарантій із зазначенням дати та часу доставки товарів (кожної партії товару або її частини) до митних органів призначення та реквізитів (номер і дата оформлення) митних декларацій або документів </w:t>
      </w:r>
      <w:r w:rsidRPr="00BF3E40">
        <w:rPr>
          <w:rFonts w:eastAsia="Times New Roman"/>
          <w:lang w:eastAsia="uk-UA"/>
        </w:rPr>
        <w:lastRenderedPageBreak/>
        <w:t>контролю за переміщенням товарів, за якими відбулося підтвердження виконання зобов’язань, забезпечених фінансовими гарантіями.</w:t>
      </w:r>
    </w:p>
    <w:p w:rsidR="00140097" w:rsidRPr="00BF3E40" w:rsidRDefault="00140097" w:rsidP="00140097">
      <w:pPr>
        <w:shd w:val="clear" w:color="auto" w:fill="FFFFFF" w:themeFill="background1"/>
        <w:ind w:firstLine="709"/>
        <w:jc w:val="both"/>
        <w:rPr>
          <w:rFonts w:eastAsia="Times New Roman"/>
          <w:lang w:eastAsia="uk-UA"/>
        </w:rPr>
      </w:pPr>
      <w:bookmarkStart w:id="16" w:name="n4768"/>
      <w:bookmarkStart w:id="17" w:name="n2552"/>
      <w:bookmarkEnd w:id="16"/>
      <w:bookmarkEnd w:id="17"/>
      <w:r w:rsidRPr="00BF3E40">
        <w:rPr>
          <w:rFonts w:eastAsia="Times New Roman"/>
          <w:lang w:eastAsia="uk-UA"/>
        </w:rPr>
        <w:t>Ч</w:t>
      </w:r>
      <w:r w:rsidR="0009180C">
        <w:rPr>
          <w:rFonts w:eastAsia="Times New Roman"/>
          <w:lang w:eastAsia="uk-UA"/>
        </w:rPr>
        <w:t>астиною</w:t>
      </w:r>
      <w:r w:rsidR="0067462A">
        <w:rPr>
          <w:rFonts w:eastAsia="Times New Roman"/>
          <w:lang w:eastAsia="uk-UA"/>
        </w:rPr>
        <w:t xml:space="preserve"> </w:t>
      </w:r>
      <w:r w:rsidRPr="00BF3E40">
        <w:rPr>
          <w:rFonts w:eastAsia="Times New Roman"/>
          <w:lang w:eastAsia="uk-UA"/>
        </w:rPr>
        <w:t>5 ст.</w:t>
      </w:r>
      <w:r w:rsidR="0067462A">
        <w:rPr>
          <w:rFonts w:eastAsia="Times New Roman"/>
          <w:lang w:eastAsia="uk-UA"/>
        </w:rPr>
        <w:t xml:space="preserve"> </w:t>
      </w:r>
      <w:r w:rsidRPr="00BF3E40">
        <w:rPr>
          <w:rFonts w:eastAsia="Times New Roman"/>
          <w:lang w:eastAsia="uk-UA"/>
        </w:rPr>
        <w:t xml:space="preserve">307 </w:t>
      </w:r>
      <w:r w:rsidR="0067462A">
        <w:rPr>
          <w:rFonts w:eastAsia="Times New Roman"/>
          <w:lang w:eastAsia="uk-UA"/>
        </w:rPr>
        <w:t>М</w:t>
      </w:r>
      <w:r w:rsidRPr="00BF3E40">
        <w:rPr>
          <w:rFonts w:eastAsia="Times New Roman"/>
          <w:lang w:eastAsia="uk-UA"/>
        </w:rPr>
        <w:t>К встановлено, що у разі невиконання особою зобов’язання з</w:t>
      </w:r>
      <w:r w:rsidR="0067462A">
        <w:rPr>
          <w:rFonts w:eastAsia="Times New Roman"/>
          <w:lang w:eastAsia="uk-UA"/>
        </w:rPr>
        <w:t>і</w:t>
      </w:r>
      <w:r w:rsidRPr="00BF3E40">
        <w:rPr>
          <w:rFonts w:eastAsia="Times New Roman"/>
          <w:lang w:eastAsia="uk-UA"/>
        </w:rPr>
        <w:t xml:space="preserve"> сплати митних платежів, забезпеченого фінансовою гарантією, наданою у вигляді документа, митний орган </w:t>
      </w:r>
      <w:r w:rsidRPr="00BF3E40">
        <w:rPr>
          <w:rFonts w:eastAsia="Times New Roman"/>
          <w:i/>
          <w:lang w:eastAsia="uk-UA"/>
        </w:rPr>
        <w:t>із залученням </w:t>
      </w:r>
      <w:bookmarkStart w:id="18" w:name="w274"/>
      <w:r w:rsidRPr="00BF3E40">
        <w:rPr>
          <w:rFonts w:eastAsia="Times New Roman"/>
          <w:i/>
          <w:lang w:eastAsia="uk-UA"/>
        </w:rPr>
        <w:t>представників гаранта</w:t>
      </w:r>
      <w:bookmarkEnd w:id="18"/>
      <w:r w:rsidRPr="00BF3E40">
        <w:rPr>
          <w:rFonts w:eastAsia="Times New Roman"/>
          <w:lang w:eastAsia="uk-UA"/>
        </w:rPr>
        <w:t xml:space="preserve">, що видав таку гарантію, з’ясовує обставини невиконання зобов’язання, після чого направляє цьому гарантові вимогу щодо сплати належної суми митних платежів. </w:t>
      </w:r>
    </w:p>
    <w:p w:rsidR="00140097" w:rsidRDefault="00140097" w:rsidP="00140097">
      <w:pPr>
        <w:shd w:val="clear" w:color="auto" w:fill="FFFFFF" w:themeFill="background1"/>
        <w:ind w:firstLine="709"/>
        <w:jc w:val="both"/>
        <w:rPr>
          <w:rFonts w:eastAsia="Times New Roman"/>
          <w:lang w:eastAsia="uk-UA"/>
        </w:rPr>
      </w:pPr>
      <w:r w:rsidRPr="00BF3E40">
        <w:rPr>
          <w:rFonts w:eastAsia="Times New Roman"/>
          <w:lang w:eastAsia="uk-UA"/>
        </w:rPr>
        <w:t xml:space="preserve">Внесення запропонованих </w:t>
      </w:r>
      <w:r w:rsidR="006B6D23">
        <w:rPr>
          <w:rFonts w:eastAsia="Times New Roman"/>
          <w:lang w:eastAsia="uk-UA"/>
        </w:rPr>
        <w:t xml:space="preserve">у проекті </w:t>
      </w:r>
      <w:r w:rsidRPr="00BF3E40">
        <w:rPr>
          <w:rFonts w:eastAsia="Times New Roman"/>
          <w:lang w:eastAsia="uk-UA"/>
        </w:rPr>
        <w:t>змін унеможливить реалізацію наведених положень ст.</w:t>
      </w:r>
      <w:r w:rsidR="0067462A">
        <w:rPr>
          <w:rFonts w:eastAsia="Times New Roman"/>
          <w:lang w:eastAsia="uk-UA"/>
        </w:rPr>
        <w:t xml:space="preserve"> </w:t>
      </w:r>
      <w:r w:rsidRPr="00BF3E40">
        <w:rPr>
          <w:rFonts w:eastAsia="Times New Roman"/>
          <w:lang w:eastAsia="uk-UA"/>
        </w:rPr>
        <w:t xml:space="preserve">307 </w:t>
      </w:r>
      <w:r w:rsidR="006B6D23">
        <w:rPr>
          <w:rFonts w:eastAsia="Times New Roman"/>
          <w:lang w:eastAsia="uk-UA"/>
        </w:rPr>
        <w:t>М</w:t>
      </w:r>
      <w:r w:rsidRPr="00BF3E40">
        <w:rPr>
          <w:rFonts w:eastAsia="Times New Roman"/>
          <w:lang w:eastAsia="uk-UA"/>
        </w:rPr>
        <w:t>К</w:t>
      </w:r>
      <w:r w:rsidR="003E2FEF" w:rsidRPr="00BF3E40">
        <w:rPr>
          <w:rFonts w:eastAsia="Times New Roman"/>
          <w:lang w:eastAsia="uk-UA"/>
        </w:rPr>
        <w:t xml:space="preserve"> щодо </w:t>
      </w:r>
      <w:r w:rsidR="003E2FEF" w:rsidRPr="00BF3E40">
        <w:t>інформаційної взаємодії між гарантами та митними органами</w:t>
      </w:r>
      <w:r w:rsidRPr="00BF3E40">
        <w:rPr>
          <w:rFonts w:eastAsia="Times New Roman"/>
          <w:lang w:eastAsia="uk-UA"/>
        </w:rPr>
        <w:t>.</w:t>
      </w:r>
    </w:p>
    <w:p w:rsidR="002853AA" w:rsidRPr="00BF3E40" w:rsidRDefault="002853AA" w:rsidP="004078CC">
      <w:pPr>
        <w:ind w:firstLine="709"/>
        <w:jc w:val="both"/>
      </w:pPr>
    </w:p>
    <w:p w:rsidR="002853AA" w:rsidRPr="00BF3E40" w:rsidRDefault="002853AA" w:rsidP="004078CC">
      <w:pPr>
        <w:ind w:firstLine="709"/>
        <w:jc w:val="both"/>
      </w:pPr>
    </w:p>
    <w:p w:rsidR="002853AA" w:rsidRPr="00BF3E40" w:rsidRDefault="002853AA" w:rsidP="004078CC">
      <w:pPr>
        <w:ind w:firstLine="709"/>
        <w:jc w:val="both"/>
      </w:pPr>
      <w:r w:rsidRPr="00BF3E40">
        <w:t>Узагальнюючий висновок: законопроект потребує доопрацювання.</w:t>
      </w:r>
    </w:p>
    <w:p w:rsidR="002853AA" w:rsidRPr="00BF3E40" w:rsidRDefault="002853AA" w:rsidP="004078CC">
      <w:pPr>
        <w:ind w:firstLine="709"/>
        <w:jc w:val="both"/>
      </w:pPr>
    </w:p>
    <w:p w:rsidR="002853AA" w:rsidRPr="00BF3E40" w:rsidRDefault="002853AA" w:rsidP="004078CC">
      <w:pPr>
        <w:ind w:firstLine="709"/>
        <w:jc w:val="both"/>
      </w:pPr>
    </w:p>
    <w:p w:rsidR="002853AA" w:rsidRPr="00BF3E40" w:rsidRDefault="002853AA" w:rsidP="004078CC">
      <w:pPr>
        <w:ind w:firstLine="709"/>
        <w:jc w:val="both"/>
      </w:pPr>
      <w:r w:rsidRPr="00BF3E40">
        <w:t>Керівник Головного управління                                           С. Тихонюк</w:t>
      </w:r>
    </w:p>
    <w:p w:rsidR="002853AA" w:rsidRPr="00BF3E40" w:rsidRDefault="002853AA" w:rsidP="004078CC">
      <w:pPr>
        <w:ind w:firstLine="709"/>
        <w:jc w:val="both"/>
      </w:pPr>
    </w:p>
    <w:p w:rsidR="002853AA" w:rsidRPr="00BF3E40" w:rsidRDefault="002853AA" w:rsidP="004078CC">
      <w:pPr>
        <w:ind w:firstLine="709"/>
        <w:jc w:val="both"/>
      </w:pPr>
    </w:p>
    <w:p w:rsidR="002853AA" w:rsidRPr="00BF3E40" w:rsidRDefault="002853AA" w:rsidP="004078CC">
      <w:pPr>
        <w:ind w:firstLine="709"/>
        <w:jc w:val="both"/>
        <w:rPr>
          <w:sz w:val="20"/>
          <w:szCs w:val="20"/>
        </w:rPr>
      </w:pPr>
      <w:proofErr w:type="spellStart"/>
      <w:r w:rsidRPr="00BF3E40">
        <w:rPr>
          <w:sz w:val="20"/>
          <w:szCs w:val="20"/>
        </w:rPr>
        <w:t>Вик</w:t>
      </w:r>
      <w:proofErr w:type="spellEnd"/>
      <w:r w:rsidRPr="00BF3E40">
        <w:rPr>
          <w:sz w:val="20"/>
          <w:szCs w:val="20"/>
        </w:rPr>
        <w:t xml:space="preserve">.: </w:t>
      </w:r>
      <w:r w:rsidR="009672B0" w:rsidRPr="00BF3E40">
        <w:rPr>
          <w:sz w:val="20"/>
          <w:szCs w:val="20"/>
        </w:rPr>
        <w:t xml:space="preserve">Ю. Лисицька, </w:t>
      </w:r>
      <w:r w:rsidR="00247816" w:rsidRPr="00BF3E40">
        <w:rPr>
          <w:sz w:val="20"/>
          <w:szCs w:val="20"/>
        </w:rPr>
        <w:t>І.</w:t>
      </w:r>
      <w:r w:rsidR="009672B0" w:rsidRPr="00BF3E40">
        <w:rPr>
          <w:sz w:val="20"/>
          <w:szCs w:val="20"/>
        </w:rPr>
        <w:t xml:space="preserve"> </w:t>
      </w:r>
      <w:r w:rsidR="00247816" w:rsidRPr="00BF3E40">
        <w:rPr>
          <w:sz w:val="20"/>
          <w:szCs w:val="20"/>
        </w:rPr>
        <w:t xml:space="preserve">Фомін </w:t>
      </w:r>
    </w:p>
    <w:p w:rsidR="00744D26" w:rsidRPr="00BF3E40" w:rsidRDefault="00AB2AB3" w:rsidP="004078CC"/>
    <w:sectPr w:rsidR="00744D26" w:rsidRPr="00BF3E40" w:rsidSect="003A0B66">
      <w:headerReference w:type="default" r:id="rId8"/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AB3" w:rsidRDefault="00AB2AB3" w:rsidP="002853AA">
      <w:r>
        <w:separator/>
      </w:r>
    </w:p>
  </w:endnote>
  <w:endnote w:type="continuationSeparator" w:id="0">
    <w:p w:rsidR="00AB2AB3" w:rsidRDefault="00AB2AB3" w:rsidP="00285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AB3" w:rsidRDefault="00AB2AB3" w:rsidP="002853AA">
      <w:r>
        <w:separator/>
      </w:r>
    </w:p>
  </w:footnote>
  <w:footnote w:type="continuationSeparator" w:id="0">
    <w:p w:rsidR="00AB2AB3" w:rsidRDefault="00AB2AB3" w:rsidP="002853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1412986"/>
      <w:docPartObj>
        <w:docPartGallery w:val="Page Numbers (Top of Page)"/>
        <w:docPartUnique/>
      </w:docPartObj>
    </w:sdtPr>
    <w:sdtEndPr/>
    <w:sdtContent>
      <w:p w:rsidR="00721272" w:rsidRDefault="00607ED3">
        <w:pPr>
          <w:pStyle w:val="a3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657B">
          <w:rPr>
            <w:noProof/>
          </w:rPr>
          <w:t>5</w:t>
        </w:r>
        <w:r>
          <w:fldChar w:fldCharType="end"/>
        </w:r>
      </w:p>
    </w:sdtContent>
  </w:sdt>
  <w:p w:rsidR="00721272" w:rsidRDefault="00AB2AB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3AA" w:rsidRDefault="002853AA">
    <w:pPr>
      <w:pStyle w:val="a3"/>
      <w:rPr>
        <w:sz w:val="20"/>
        <w:szCs w:val="20"/>
      </w:rPr>
    </w:pPr>
    <w:r w:rsidRPr="002853AA">
      <w:rPr>
        <w:sz w:val="20"/>
        <w:szCs w:val="20"/>
      </w:rPr>
      <w:t xml:space="preserve">До </w:t>
    </w:r>
    <w:r>
      <w:rPr>
        <w:sz w:val="20"/>
        <w:szCs w:val="20"/>
      </w:rPr>
      <w:t>реєстр. № 3037 від 07.02.2020</w:t>
    </w:r>
  </w:p>
  <w:p w:rsidR="00024D89" w:rsidRDefault="00820E93">
    <w:pPr>
      <w:pStyle w:val="a3"/>
      <w:rPr>
        <w:sz w:val="20"/>
        <w:szCs w:val="20"/>
      </w:rPr>
    </w:pPr>
    <w:r>
      <w:rPr>
        <w:sz w:val="20"/>
        <w:szCs w:val="20"/>
      </w:rPr>
      <w:t>Народн</w:t>
    </w:r>
    <w:r w:rsidR="00024D89">
      <w:rPr>
        <w:sz w:val="20"/>
        <w:szCs w:val="20"/>
      </w:rPr>
      <w:t>ий</w:t>
    </w:r>
    <w:r>
      <w:rPr>
        <w:sz w:val="20"/>
        <w:szCs w:val="20"/>
      </w:rPr>
      <w:t xml:space="preserve"> депутат </w:t>
    </w:r>
    <w:r w:rsidR="00024D89">
      <w:rPr>
        <w:sz w:val="20"/>
        <w:szCs w:val="20"/>
      </w:rPr>
      <w:t>України</w:t>
    </w:r>
  </w:p>
  <w:p w:rsidR="002853AA" w:rsidRDefault="00024D89">
    <w:pPr>
      <w:pStyle w:val="a3"/>
    </w:pPr>
    <w:r>
      <w:rPr>
        <w:sz w:val="20"/>
        <w:szCs w:val="20"/>
      </w:rPr>
      <w:t xml:space="preserve">Ю. </w:t>
    </w:r>
    <w:r w:rsidR="002853AA">
      <w:rPr>
        <w:sz w:val="20"/>
        <w:szCs w:val="20"/>
      </w:rPr>
      <w:t>Діденко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95763"/>
    <w:multiLevelType w:val="hybridMultilevel"/>
    <w:tmpl w:val="54F6CB32"/>
    <w:lvl w:ilvl="0" w:tplc="603A1B62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70721FC"/>
    <w:multiLevelType w:val="hybridMultilevel"/>
    <w:tmpl w:val="FEA0E7D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F4E200D"/>
    <w:multiLevelType w:val="hybridMultilevel"/>
    <w:tmpl w:val="795C3C9A"/>
    <w:lvl w:ilvl="0" w:tplc="603A1B62">
      <w:start w:val="1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2881074"/>
    <w:multiLevelType w:val="hybridMultilevel"/>
    <w:tmpl w:val="10BC592E"/>
    <w:lvl w:ilvl="0" w:tplc="8080554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91574BE"/>
    <w:multiLevelType w:val="hybridMultilevel"/>
    <w:tmpl w:val="F98CF6CE"/>
    <w:lvl w:ilvl="0" w:tplc="5BAA1FD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3AA"/>
    <w:rsid w:val="00004B4F"/>
    <w:rsid w:val="00005AA5"/>
    <w:rsid w:val="00024D89"/>
    <w:rsid w:val="0006254F"/>
    <w:rsid w:val="0009180C"/>
    <w:rsid w:val="000C5181"/>
    <w:rsid w:val="00140097"/>
    <w:rsid w:val="001C25E1"/>
    <w:rsid w:val="001E1B60"/>
    <w:rsid w:val="002013EC"/>
    <w:rsid w:val="002315EB"/>
    <w:rsid w:val="002347F4"/>
    <w:rsid w:val="00247816"/>
    <w:rsid w:val="002709C8"/>
    <w:rsid w:val="00275222"/>
    <w:rsid w:val="002853AA"/>
    <w:rsid w:val="0029798C"/>
    <w:rsid w:val="002A2665"/>
    <w:rsid w:val="00300BA8"/>
    <w:rsid w:val="00367AE1"/>
    <w:rsid w:val="00394885"/>
    <w:rsid w:val="003A0B66"/>
    <w:rsid w:val="003E2FEF"/>
    <w:rsid w:val="004078CC"/>
    <w:rsid w:val="00452BDF"/>
    <w:rsid w:val="00527C7C"/>
    <w:rsid w:val="005D6503"/>
    <w:rsid w:val="0060657B"/>
    <w:rsid w:val="00607ED3"/>
    <w:rsid w:val="00617BE7"/>
    <w:rsid w:val="00622E16"/>
    <w:rsid w:val="00634DAF"/>
    <w:rsid w:val="0067462A"/>
    <w:rsid w:val="006B6D23"/>
    <w:rsid w:val="006E5866"/>
    <w:rsid w:val="006F1631"/>
    <w:rsid w:val="0070058A"/>
    <w:rsid w:val="00741C39"/>
    <w:rsid w:val="007B4A01"/>
    <w:rsid w:val="007F2D39"/>
    <w:rsid w:val="0080074D"/>
    <w:rsid w:val="008073F3"/>
    <w:rsid w:val="00820E93"/>
    <w:rsid w:val="008466E1"/>
    <w:rsid w:val="00927805"/>
    <w:rsid w:val="009672B0"/>
    <w:rsid w:val="00983BB3"/>
    <w:rsid w:val="009B3F38"/>
    <w:rsid w:val="009D23DF"/>
    <w:rsid w:val="00A46AC6"/>
    <w:rsid w:val="00A52135"/>
    <w:rsid w:val="00AB2AB3"/>
    <w:rsid w:val="00AC7BB4"/>
    <w:rsid w:val="00AF6B52"/>
    <w:rsid w:val="00B66D5C"/>
    <w:rsid w:val="00B92D00"/>
    <w:rsid w:val="00BA0546"/>
    <w:rsid w:val="00BA1714"/>
    <w:rsid w:val="00BF3E40"/>
    <w:rsid w:val="00CC24A2"/>
    <w:rsid w:val="00D27824"/>
    <w:rsid w:val="00DC2270"/>
    <w:rsid w:val="00E06EDA"/>
    <w:rsid w:val="00E35089"/>
    <w:rsid w:val="00E669ED"/>
    <w:rsid w:val="00E733EC"/>
    <w:rsid w:val="00E8589A"/>
    <w:rsid w:val="00EF5428"/>
    <w:rsid w:val="00F071C7"/>
    <w:rsid w:val="00F37FDD"/>
    <w:rsid w:val="00F771CA"/>
    <w:rsid w:val="00FB121A"/>
    <w:rsid w:val="00FC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49124B-1CA4-4CE7-8F34-63B5CCFDA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3AA"/>
    <w:pPr>
      <w:spacing w:after="0" w:line="240" w:lineRule="auto"/>
      <w:jc w:val="right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53AA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2853AA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2853AA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2853AA"/>
    <w:rPr>
      <w:rFonts w:ascii="Times New Roman" w:hAnsi="Times New Roman" w:cs="Times New Roman"/>
      <w:sz w:val="28"/>
      <w:szCs w:val="28"/>
    </w:rPr>
  </w:style>
  <w:style w:type="paragraph" w:customStyle="1" w:styleId="rvps2">
    <w:name w:val="rvps2"/>
    <w:basedOn w:val="a"/>
    <w:rsid w:val="00927805"/>
    <w:pPr>
      <w:spacing w:before="100" w:beforeAutospacing="1" w:after="100" w:afterAutospacing="1"/>
      <w:jc w:val="left"/>
    </w:pPr>
    <w:rPr>
      <w:rFonts w:eastAsia="Times New Roman" w:cs="Calibri"/>
      <w:sz w:val="24"/>
      <w:szCs w:val="24"/>
      <w:lang w:eastAsia="uk-UA"/>
    </w:rPr>
  </w:style>
  <w:style w:type="paragraph" w:styleId="a7">
    <w:name w:val="List Paragraph"/>
    <w:basedOn w:val="a"/>
    <w:uiPriority w:val="34"/>
    <w:qFormat/>
    <w:rsid w:val="00A52135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140097"/>
    <w:rPr>
      <w:color w:val="0000FF"/>
      <w:u w:val="single"/>
    </w:rPr>
  </w:style>
  <w:style w:type="character" w:customStyle="1" w:styleId="rvts46">
    <w:name w:val="rvts46"/>
    <w:basedOn w:val="a0"/>
    <w:rsid w:val="00140097"/>
  </w:style>
  <w:style w:type="character" w:customStyle="1" w:styleId="rvts11">
    <w:name w:val="rvts11"/>
    <w:basedOn w:val="a0"/>
    <w:rsid w:val="00140097"/>
  </w:style>
  <w:style w:type="paragraph" w:customStyle="1" w:styleId="a9">
    <w:name w:val="Нормальний текст"/>
    <w:basedOn w:val="a"/>
    <w:rsid w:val="00741C39"/>
    <w:pPr>
      <w:autoSpaceDE w:val="0"/>
      <w:autoSpaceDN w:val="0"/>
      <w:spacing w:before="120"/>
      <w:ind w:firstLine="567"/>
      <w:jc w:val="left"/>
    </w:pPr>
    <w:rPr>
      <w:rFonts w:ascii="Antiqua" w:eastAsia="Calibri" w:hAnsi="Antiqua" w:cs="Antiqua"/>
      <w:sz w:val="26"/>
      <w:szCs w:val="26"/>
      <w:lang w:eastAsia="ru-RU"/>
    </w:rPr>
  </w:style>
  <w:style w:type="paragraph" w:styleId="HTML">
    <w:name w:val="HTML Preformatted"/>
    <w:basedOn w:val="a"/>
    <w:link w:val="HTML0"/>
    <w:rsid w:val="00741C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rsid w:val="00741C39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rvts9">
    <w:name w:val="rvts9"/>
    <w:basedOn w:val="a0"/>
    <w:rsid w:val="002A2665"/>
  </w:style>
  <w:style w:type="character" w:customStyle="1" w:styleId="rvts23">
    <w:name w:val="rvts23"/>
    <w:basedOn w:val="a0"/>
    <w:rsid w:val="002A2665"/>
  </w:style>
  <w:style w:type="character" w:customStyle="1" w:styleId="dat">
    <w:name w:val="dat"/>
    <w:basedOn w:val="a0"/>
    <w:rsid w:val="002A2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5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584%D0%B0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7345</Words>
  <Characters>4187</Characters>
  <Application>Microsoft Office Word</Application>
  <DocSecurity>0</DocSecurity>
  <Lines>34</Lines>
  <Paragraphs>23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Лисицька Юлія Валентинівна</dc:creator>
  <cp:keywords/>
  <dc:description/>
  <cp:lastModifiedBy>Інна Григорівна Лопотуха</cp:lastModifiedBy>
  <cp:revision>2</cp:revision>
  <dcterms:created xsi:type="dcterms:W3CDTF">2020-03-05T12:53:00Z</dcterms:created>
  <dcterms:modified xsi:type="dcterms:W3CDTF">2020-03-05T12:53:00Z</dcterms:modified>
</cp:coreProperties>
</file>