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F6" w:rsidRPr="0044297B" w:rsidRDefault="00B932F6" w:rsidP="00B932F6">
      <w:pPr>
        <w:pStyle w:val="20"/>
        <w:ind w:left="5103"/>
        <w:jc w:val="left"/>
        <w:rPr>
          <w:b/>
          <w:bCs/>
        </w:rPr>
      </w:pPr>
      <w:r w:rsidRPr="0044297B">
        <w:rPr>
          <w:b/>
          <w:bCs/>
        </w:rPr>
        <w:t>Комітет Верховної Ради України з питань фінансів, податкової та митної політики</w:t>
      </w:r>
    </w:p>
    <w:p w:rsidR="00F52C66" w:rsidRDefault="00F52C66" w:rsidP="00F52C66">
      <w:pPr>
        <w:tabs>
          <w:tab w:val="left" w:pos="4344"/>
        </w:tabs>
        <w:spacing w:before="360"/>
        <w:jc w:val="both"/>
        <w:rPr>
          <w:b/>
          <w:bCs/>
          <w:sz w:val="28"/>
          <w:szCs w:val="28"/>
          <w:lang w:val="uk-UA"/>
        </w:rPr>
      </w:pPr>
      <w:r>
        <w:rPr>
          <w:i/>
          <w:lang w:val="uk-UA"/>
        </w:rPr>
        <w:t>До законопроекту за реєстр. № 3037 від 07.02.2020</w:t>
      </w:r>
    </w:p>
    <w:p w:rsidR="00F52C66" w:rsidRDefault="00F52C66" w:rsidP="00F52C66">
      <w:pPr>
        <w:tabs>
          <w:tab w:val="left" w:pos="4344"/>
        </w:tabs>
        <w:jc w:val="both"/>
        <w:rPr>
          <w:b/>
          <w:bCs/>
          <w:sz w:val="28"/>
          <w:szCs w:val="28"/>
          <w:lang w:val="uk-UA"/>
        </w:rPr>
      </w:pPr>
    </w:p>
    <w:p w:rsidR="00F52C66" w:rsidRDefault="00F52C66" w:rsidP="00F52C66">
      <w:pPr>
        <w:ind w:firstLine="709"/>
        <w:jc w:val="both"/>
        <w:rPr>
          <w:sz w:val="28"/>
          <w:szCs w:val="28"/>
          <w:lang w:val="uk-UA"/>
        </w:rPr>
      </w:pPr>
      <w:r>
        <w:rPr>
          <w:sz w:val="28"/>
          <w:szCs w:val="28"/>
          <w:lang w:val="uk-UA"/>
        </w:rPr>
        <w:t xml:space="preserve">Комітет Верховної Ради України з питань бюджету на засіданні </w:t>
      </w:r>
      <w:r w:rsidR="00296BD3" w:rsidRPr="004E54F8">
        <w:rPr>
          <w:sz w:val="28"/>
          <w:szCs w:val="26"/>
          <w:lang w:val="uk-UA"/>
        </w:rPr>
        <w:t>24 квітня 2020 року (протокол № 34)</w:t>
      </w:r>
      <w:r>
        <w:rPr>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про внесення змін до Митного кодексу України щодо удосконалення функціонування авторизованих економічних операторів, інституту фінансових гарантій та зменшення тиску правоохоронних органів (реєстр. № 3037 від 07.02.2020), поданий народним депутатом України Діденко Ю.О.</w:t>
      </w:r>
    </w:p>
    <w:p w:rsidR="00F52C66" w:rsidRDefault="00F52C66" w:rsidP="00F52C66">
      <w:pPr>
        <w:ind w:firstLine="709"/>
        <w:jc w:val="both"/>
        <w:rPr>
          <w:sz w:val="28"/>
          <w:szCs w:val="28"/>
          <w:lang w:val="uk-UA"/>
        </w:rPr>
      </w:pPr>
      <w:r>
        <w:rPr>
          <w:sz w:val="28"/>
          <w:szCs w:val="28"/>
          <w:lang w:val="uk-UA"/>
        </w:rPr>
        <w:t>Законопроектом пропонується, зокрема:</w:t>
      </w:r>
    </w:p>
    <w:p w:rsidR="00F52C66" w:rsidRDefault="00F52C66" w:rsidP="00F52C66">
      <w:pPr>
        <w:ind w:firstLine="709"/>
        <w:jc w:val="both"/>
        <w:rPr>
          <w:sz w:val="28"/>
          <w:szCs w:val="28"/>
          <w:lang w:val="uk-UA"/>
        </w:rPr>
      </w:pPr>
      <w:r>
        <w:rPr>
          <w:sz w:val="28"/>
          <w:szCs w:val="28"/>
          <w:lang w:val="uk-UA"/>
        </w:rPr>
        <w:t>приймати рішення центрального органу виконавчої влади, що реалізує державну митну політику, про надання авторизації АЕО з урахуванням рекомендацій Комісії з питань авторизації АЕО;</w:t>
      </w:r>
    </w:p>
    <w:p w:rsidR="00F52C66" w:rsidRDefault="00F52C66" w:rsidP="00F52C66">
      <w:pPr>
        <w:ind w:firstLine="709"/>
        <w:jc w:val="both"/>
        <w:rPr>
          <w:sz w:val="28"/>
          <w:szCs w:val="28"/>
          <w:lang w:val="uk-UA"/>
        </w:rPr>
      </w:pPr>
      <w:r>
        <w:rPr>
          <w:sz w:val="28"/>
          <w:szCs w:val="28"/>
          <w:lang w:val="uk-UA"/>
        </w:rPr>
        <w:t>визначити склад та основні завдання Комісії з питань авторизації АЕО;</w:t>
      </w:r>
    </w:p>
    <w:p w:rsidR="00F52C66" w:rsidRDefault="00F52C66" w:rsidP="00F52C66">
      <w:pPr>
        <w:ind w:firstLine="709"/>
        <w:jc w:val="both"/>
        <w:rPr>
          <w:sz w:val="28"/>
          <w:szCs w:val="28"/>
          <w:lang w:val="uk-UA"/>
        </w:rPr>
      </w:pPr>
      <w:r>
        <w:rPr>
          <w:sz w:val="28"/>
          <w:szCs w:val="28"/>
          <w:lang w:val="uk-UA"/>
        </w:rPr>
        <w:t>уточнити умову відповідності підприємства критеріям АЕО шляхом встановлення допустимого розміру податкового боргу (до десяти розмірів прожиткового мінімуму, встановленого для працездатних осіб на 1 січня відповідного календарного року);</w:t>
      </w:r>
    </w:p>
    <w:p w:rsidR="00F52C66" w:rsidRDefault="00F52C66" w:rsidP="00F52C66">
      <w:pPr>
        <w:ind w:firstLine="709"/>
        <w:jc w:val="both"/>
        <w:rPr>
          <w:color w:val="000000"/>
          <w:sz w:val="28"/>
          <w:szCs w:val="28"/>
          <w:lang w:val="uk-UA"/>
        </w:rPr>
      </w:pPr>
      <w:r>
        <w:rPr>
          <w:sz w:val="28"/>
          <w:szCs w:val="28"/>
          <w:lang w:val="uk-UA"/>
        </w:rPr>
        <w:t xml:space="preserve">збільшити з 90 до 365 календарних днів строк дії фінансових гарантій для забезпечення сплати </w:t>
      </w:r>
      <w:r>
        <w:rPr>
          <w:color w:val="000000"/>
          <w:sz w:val="28"/>
          <w:szCs w:val="28"/>
          <w:lang w:val="uk-UA"/>
        </w:rPr>
        <w:t>різниці між сумою митних платежів, обчисленою згідно з митною вартістю товарів, визначеною декларантом або уповноваженою ним особою, та сумою митних платежів, обчисленою згідно з митною вартістю товарів, визначеною митним органом;</w:t>
      </w:r>
    </w:p>
    <w:p w:rsidR="00F52C66" w:rsidRDefault="00F52C66" w:rsidP="00F52C66">
      <w:pPr>
        <w:ind w:firstLine="709"/>
        <w:jc w:val="both"/>
        <w:rPr>
          <w:sz w:val="28"/>
          <w:szCs w:val="28"/>
          <w:lang w:val="uk-UA"/>
        </w:rPr>
      </w:pPr>
      <w:r>
        <w:rPr>
          <w:sz w:val="28"/>
          <w:szCs w:val="28"/>
          <w:lang w:val="uk-UA"/>
        </w:rPr>
        <w:t>встановити, що сума загальної фінансової гарантії не може бути меншою еквівалента: 2 млн євро (крім виробників та експортерів (імпортерів) та 400 тис</w:t>
      </w:r>
      <w:r w:rsidR="00D565DC">
        <w:rPr>
          <w:sz w:val="28"/>
          <w:szCs w:val="28"/>
          <w:lang w:val="uk-UA"/>
        </w:rPr>
        <w:t>. </w:t>
      </w:r>
      <w:r>
        <w:rPr>
          <w:sz w:val="28"/>
          <w:szCs w:val="28"/>
          <w:lang w:val="uk-UA"/>
        </w:rPr>
        <w:t>євро для виробників та експортерів (імпортерів), і повинна діяти не менше одного року з моменту останнього дня її використання;</w:t>
      </w:r>
    </w:p>
    <w:p w:rsidR="00F52C66" w:rsidRDefault="00F52C66" w:rsidP="00F52C66">
      <w:pPr>
        <w:ind w:firstLine="709"/>
        <w:jc w:val="both"/>
        <w:rPr>
          <w:sz w:val="28"/>
          <w:szCs w:val="28"/>
          <w:lang w:val="uk-UA"/>
        </w:rPr>
      </w:pPr>
      <w:r>
        <w:rPr>
          <w:sz w:val="28"/>
          <w:szCs w:val="28"/>
          <w:lang w:val="uk-UA"/>
        </w:rPr>
        <w:t>встановити, що загальну фінансову гарантію для АЕО мають право надавати виключно системно важливі банки;</w:t>
      </w:r>
    </w:p>
    <w:p w:rsidR="00F52C66" w:rsidRDefault="00F52C66" w:rsidP="00F52C66">
      <w:pPr>
        <w:ind w:firstLine="709"/>
        <w:jc w:val="both"/>
        <w:rPr>
          <w:sz w:val="28"/>
          <w:szCs w:val="28"/>
          <w:lang w:val="uk-UA"/>
        </w:rPr>
      </w:pPr>
      <w:r>
        <w:rPr>
          <w:sz w:val="28"/>
          <w:szCs w:val="28"/>
          <w:lang w:val="uk-UA"/>
        </w:rPr>
        <w:t>скоротити строки проведення оцінки відповідності підприємств критеріям АЕО з 120 до 30 днів з дня прийняття рішення про її проведення.</w:t>
      </w:r>
    </w:p>
    <w:p w:rsidR="00F52C66" w:rsidRDefault="00F52C66" w:rsidP="00F52C66">
      <w:pPr>
        <w:ind w:firstLine="709"/>
        <w:jc w:val="both"/>
        <w:rPr>
          <w:sz w:val="28"/>
          <w:szCs w:val="28"/>
          <w:lang w:val="uk-UA"/>
        </w:rPr>
      </w:pPr>
      <w:r>
        <w:rPr>
          <w:sz w:val="28"/>
          <w:szCs w:val="28"/>
          <w:lang w:val="uk-UA"/>
        </w:rPr>
        <w:lastRenderedPageBreak/>
        <w:t>У пояснювальній записці до законопроекту зазначено, що реалізація його положень не передбачатиме зменшення надходжень митних платежів до державного бюджету.</w:t>
      </w:r>
    </w:p>
    <w:p w:rsidR="00F52C66" w:rsidRDefault="00F52C66" w:rsidP="00F52C66">
      <w:pPr>
        <w:ind w:firstLine="709"/>
        <w:jc w:val="both"/>
        <w:rPr>
          <w:color w:val="000000"/>
          <w:sz w:val="28"/>
          <w:szCs w:val="28"/>
          <w:lang w:val="uk-UA"/>
        </w:rPr>
      </w:pPr>
      <w:r>
        <w:rPr>
          <w:color w:val="000000"/>
          <w:sz w:val="28"/>
          <w:szCs w:val="28"/>
          <w:lang w:val="uk-UA"/>
        </w:rPr>
        <w:t>Однак до законопроекту не надано фінансово-економічного обґрунтування (включаючи відповідні розрахунки), яке вимагається відповідно до частини першої статті 27 Бюджетного кодексу України та частини третьої статті 91 Регламенту Верховної Ради України.</w:t>
      </w:r>
    </w:p>
    <w:p w:rsidR="00F52C66" w:rsidRDefault="00F52C66" w:rsidP="00F52C66">
      <w:pPr>
        <w:ind w:firstLine="709"/>
        <w:jc w:val="both"/>
        <w:rPr>
          <w:color w:val="000000"/>
          <w:sz w:val="28"/>
          <w:szCs w:val="28"/>
          <w:lang w:val="uk-UA"/>
        </w:rPr>
      </w:pPr>
      <w:r>
        <w:rPr>
          <w:color w:val="000000"/>
          <w:sz w:val="28"/>
          <w:szCs w:val="28"/>
          <w:lang w:val="uk-UA"/>
        </w:rPr>
        <w:t xml:space="preserve">Міністерство фінансів України у своєму експертному висновку зазначає, що запропоновані зміни щодо суттєвого скорочення строків проведення оцінки відповідності підприємства критеріям АЕО зумовлять необхідність збільшення чисельності працівників, що будуть проводити таку оцінку, що в свою чергу, призведе до збільшення видатків державного бюджету. При цьому зазначено, що оцінити вартісну величину впливу положень законопроекту на показники бюджету неможливо, оскільки відсутня інформація щодо додаткової чисельності працівників. </w:t>
      </w:r>
      <w:r>
        <w:rPr>
          <w:sz w:val="28"/>
          <w:szCs w:val="28"/>
          <w:lang w:val="uk-UA"/>
        </w:rPr>
        <w:t>Загалом Мінфін висловлює зауваження щодо законопроекту та його не підтримує.</w:t>
      </w:r>
    </w:p>
    <w:p w:rsidR="00B932F6" w:rsidRPr="0044297B" w:rsidRDefault="00F52C66" w:rsidP="00F52C66">
      <w:pPr>
        <w:pStyle w:val="20"/>
        <w:ind w:firstLine="709"/>
      </w:pPr>
      <w:r>
        <w:rPr>
          <w:color w:val="000000"/>
        </w:rPr>
        <w:t>За наслідками розгляду Комітет прийняв рішення, що законопроект матиме опосередкований вплив на показники бюджету (може потребувати</w:t>
      </w:r>
      <w:r>
        <w:t xml:space="preserve"> додаткових видатків державного бюджету на функціонування митних органів залежно від практики застосування даної законодавчої ініціативи та вжиття митними органами заходів щодо економного та ефективного використання бюджетних коштів). </w:t>
      </w:r>
      <w:r w:rsidR="003A710D" w:rsidRPr="00065E22">
        <w:t>У разі прийняття відповідного закону він може набирати чинності згідно із законодавством</w:t>
      </w:r>
      <w:r w:rsidR="003A710D">
        <w:t>.</w:t>
      </w:r>
    </w:p>
    <w:p w:rsidR="00B932F6" w:rsidRDefault="00B932F6" w:rsidP="00B932F6">
      <w:pPr>
        <w:pStyle w:val="20"/>
        <w:ind w:firstLine="709"/>
      </w:pPr>
    </w:p>
    <w:p w:rsidR="00B932F6" w:rsidRPr="0044297B" w:rsidRDefault="00B932F6" w:rsidP="00B932F6">
      <w:pPr>
        <w:pStyle w:val="20"/>
        <w:spacing w:before="60"/>
        <w:ind w:firstLine="720"/>
      </w:pPr>
    </w:p>
    <w:p w:rsidR="00B932F6" w:rsidRPr="0044297B" w:rsidRDefault="00B932F6" w:rsidP="00B932F6">
      <w:pPr>
        <w:pStyle w:val="20"/>
        <w:spacing w:before="60"/>
        <w:ind w:firstLine="720"/>
      </w:pPr>
    </w:p>
    <w:p w:rsidR="00B932F6" w:rsidRPr="0044297B" w:rsidRDefault="00B932F6" w:rsidP="00B932F6">
      <w:pPr>
        <w:ind w:right="51"/>
        <w:jc w:val="both"/>
        <w:rPr>
          <w:b/>
          <w:sz w:val="28"/>
          <w:szCs w:val="28"/>
          <w:lang w:val="uk-UA"/>
        </w:rPr>
      </w:pPr>
      <w:r w:rsidRPr="0044297B">
        <w:rPr>
          <w:b/>
          <w:bCs/>
          <w:sz w:val="28"/>
          <w:szCs w:val="28"/>
          <w:lang w:val="uk-UA"/>
        </w:rPr>
        <w:t xml:space="preserve">Голова Комітету                                                                                          </w:t>
      </w:r>
      <w:r w:rsidRPr="0044297B">
        <w:rPr>
          <w:b/>
          <w:sz w:val="28"/>
          <w:szCs w:val="28"/>
          <w:lang w:val="uk-UA"/>
        </w:rPr>
        <w:t>Ю.Ю. Арістов</w:t>
      </w:r>
      <w:bookmarkStart w:id="0" w:name="_GoBack"/>
      <w:bookmarkEnd w:id="0"/>
    </w:p>
    <w:sectPr w:rsidR="00B932F6" w:rsidRPr="0044297B" w:rsidSect="00A65F03">
      <w:headerReference w:type="even" r:id="rId8"/>
      <w:headerReference w:type="default" r:id="rId9"/>
      <w:footerReference w:type="default" r:id="rId10"/>
      <w:headerReference w:type="first" r:id="rId11"/>
      <w:pgSz w:w="11906" w:h="16838" w:code="9"/>
      <w:pgMar w:top="993" w:right="851" w:bottom="567"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9F" w:rsidRDefault="0046659F">
      <w:r>
        <w:separator/>
      </w:r>
    </w:p>
  </w:endnote>
  <w:endnote w:type="continuationSeparator" w:id="0">
    <w:p w:rsidR="0046659F" w:rsidRDefault="004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FB0527">
    <w:pPr>
      <w:pStyle w:val="af0"/>
      <w:jc w:val="center"/>
    </w:pPr>
    <w:r>
      <w:fldChar w:fldCharType="begin"/>
    </w:r>
    <w:r>
      <w:instrText>PAGE   \* MERGEFORMAT</w:instrText>
    </w:r>
    <w:r>
      <w:fldChar w:fldCharType="separate"/>
    </w:r>
    <w:r w:rsidR="004C74EC" w:rsidRPr="004C74EC">
      <w:rPr>
        <w:noProof/>
        <w:lang w:val="uk-UA"/>
      </w:rPr>
      <w:t>2</w:t>
    </w:r>
    <w:r>
      <w:fldChar w:fldCharType="end"/>
    </w:r>
  </w:p>
  <w:p w:rsidR="00FB0527" w:rsidRDefault="00FB05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9F" w:rsidRDefault="0046659F">
      <w:r>
        <w:separator/>
      </w:r>
    </w:p>
  </w:footnote>
  <w:footnote w:type="continuationSeparator" w:id="0">
    <w:p w:rsidR="0046659F" w:rsidRDefault="0046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FB0527"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E6183">
      <w:rPr>
        <w:rStyle w:val="ae"/>
        <w:noProof/>
      </w:rPr>
      <w:t>3</w:t>
    </w:r>
    <w:r>
      <w:rPr>
        <w:rStyle w:val="ae"/>
      </w:rPr>
      <w:fldChar w:fldCharType="end"/>
    </w:r>
  </w:p>
  <w:p w:rsidR="00FB0527" w:rsidRDefault="00FB05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Pr="000945EA" w:rsidRDefault="00FB0527" w:rsidP="0062423B">
    <w:pPr>
      <w:pStyle w:val="a3"/>
      <w:jc w:val="right"/>
      <w:rPr>
        <w:b w:val="0"/>
        <w:bCs w:val="0"/>
        <w:sz w:val="16"/>
      </w:rPr>
    </w:pPr>
    <w:r w:rsidRPr="000945EA">
      <w:rPr>
        <w:b w:val="0"/>
        <w:bCs w:val="0"/>
        <w:sz w:val="20"/>
      </w:rPr>
      <w:t>До реєстр.</w:t>
    </w:r>
    <w:r w:rsidRPr="000945EA">
      <w:rPr>
        <w:b w:val="0"/>
        <w:bCs w:val="0"/>
        <w:sz w:val="16"/>
      </w:rPr>
      <w:t xml:space="preserve"> </w:t>
    </w:r>
    <w:r w:rsidRPr="000945EA">
      <w:rPr>
        <w:b w:val="0"/>
        <w:bCs w:val="0"/>
        <w:sz w:val="20"/>
      </w:rPr>
      <w:t xml:space="preserve">№ </w:t>
    </w:r>
    <w:r w:rsidR="00F52C66">
      <w:rPr>
        <w:b w:val="0"/>
        <w:bCs w:val="0"/>
        <w:sz w:val="20"/>
      </w:rPr>
      <w:t>3037</w:t>
    </w:r>
    <w:r w:rsidRPr="000945EA">
      <w:rPr>
        <w:b w:val="0"/>
        <w:bCs w:val="0"/>
        <w:sz w:val="20"/>
      </w:rPr>
      <w:t xml:space="preserve"> від </w:t>
    </w:r>
    <w:r w:rsidR="00F52C66">
      <w:rPr>
        <w:b w:val="0"/>
        <w:bCs w:val="0"/>
        <w:sz w:val="20"/>
      </w:rPr>
      <w:t>0</w:t>
    </w:r>
    <w:r>
      <w:rPr>
        <w:b w:val="0"/>
        <w:bCs w:val="0"/>
        <w:sz w:val="20"/>
      </w:rPr>
      <w:t>7</w:t>
    </w:r>
    <w:r w:rsidRPr="000945EA">
      <w:rPr>
        <w:b w:val="0"/>
        <w:bCs w:val="0"/>
        <w:sz w:val="20"/>
      </w:rPr>
      <w:t>.0</w:t>
    </w:r>
    <w:r>
      <w:rPr>
        <w:b w:val="0"/>
        <w:bCs w:val="0"/>
        <w:sz w:val="20"/>
      </w:rPr>
      <w:t>2</w:t>
    </w:r>
    <w:r w:rsidRPr="000945EA">
      <w:rPr>
        <w:b w:val="0"/>
        <w:bCs w:val="0"/>
        <w:sz w:val="20"/>
      </w:rPr>
      <w:t>.2020</w:t>
    </w:r>
  </w:p>
  <w:p w:rsidR="00FB0527" w:rsidRDefault="00FB0527" w:rsidP="0062423B">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B0527" w:rsidTr="00E47FC0">
      <w:tc>
        <w:tcPr>
          <w:tcW w:w="11957" w:type="dxa"/>
          <w:tcBorders>
            <w:top w:val="nil"/>
            <w:left w:val="nil"/>
            <w:bottom w:val="nil"/>
            <w:right w:val="nil"/>
          </w:tcBorders>
        </w:tcPr>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A46950"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527" w:rsidRPr="008137E3">
            <w:rPr>
              <w:color w:val="1829A8"/>
              <w:spacing w:val="20"/>
              <w:sz w:val="34"/>
              <w:szCs w:val="34"/>
            </w:rPr>
            <w:t>ВЕРХОВНА РАДА УКРАЇНИ</w:t>
          </w:r>
        </w:p>
        <w:p w:rsidR="00FB0527" w:rsidRPr="008137E3" w:rsidRDefault="00FB0527" w:rsidP="00E47FC0">
          <w:pPr>
            <w:pStyle w:val="ac"/>
            <w:spacing w:before="100"/>
            <w:jc w:val="center"/>
            <w:rPr>
              <w:b/>
              <w:color w:val="1829A8"/>
              <w:spacing w:val="20"/>
              <w:sz w:val="24"/>
              <w:szCs w:val="24"/>
            </w:rPr>
          </w:pPr>
          <w:r w:rsidRPr="008137E3">
            <w:rPr>
              <w:b/>
              <w:color w:val="1829A8"/>
              <w:spacing w:val="20"/>
              <w:sz w:val="24"/>
              <w:szCs w:val="24"/>
            </w:rPr>
            <w:t>Комітет з питань бюджету</w:t>
          </w:r>
        </w:p>
        <w:p w:rsidR="00FB0527" w:rsidRPr="008137E3" w:rsidRDefault="00FB0527" w:rsidP="00E47FC0">
          <w:pPr>
            <w:pStyle w:val="ac"/>
            <w:spacing w:before="160" w:after="60"/>
            <w:jc w:val="center"/>
            <w:rPr>
              <w:color w:val="002060"/>
              <w:sz w:val="20"/>
            </w:rPr>
          </w:pPr>
          <w:smartTag w:uri="urn:schemas-microsoft-com:office:smarttags" w:element="metricconverter">
            <w:smartTagPr>
              <w:attr w:name="ProductID" w:val="01008, м"/>
            </w:smartTagPr>
            <w:r w:rsidRPr="008137E3">
              <w:rPr>
                <w:color w:val="1829A8"/>
                <w:sz w:val="20"/>
              </w:rPr>
              <w:t>01008, м</w:t>
            </w:r>
          </w:smartTag>
          <w:r w:rsidRPr="008137E3">
            <w:rPr>
              <w:color w:val="1829A8"/>
              <w:sz w:val="20"/>
            </w:rPr>
            <w:t xml:space="preserve">.Київ-8, вул. М. Грушевського, 5, </w:t>
          </w:r>
          <w:proofErr w:type="spellStart"/>
          <w:r w:rsidRPr="008137E3">
            <w:rPr>
              <w:color w:val="1829A8"/>
              <w:sz w:val="20"/>
            </w:rPr>
            <w:t>тел</w:t>
          </w:r>
          <w:proofErr w:type="spellEnd"/>
          <w:r w:rsidRPr="008137E3">
            <w:rPr>
              <w:color w:val="1829A8"/>
              <w:sz w:val="20"/>
            </w:rPr>
            <w:t>.: 255-40-29, 255-43-61, факс: 255-41-23</w:t>
          </w:r>
        </w:p>
      </w:tc>
    </w:tr>
  </w:tbl>
  <w:p w:rsidR="00FB0527" w:rsidRDefault="00FB0527" w:rsidP="00E47FC0">
    <w:pPr>
      <w:rPr>
        <w:snapToGrid w:val="0"/>
        <w:vanish/>
        <w:color w:val="000000"/>
        <w:w w:val="1"/>
        <w:sz w:val="2"/>
        <w:szCs w:val="2"/>
        <w:bdr w:val="none" w:sz="0" w:space="0" w:color="auto" w:frame="1"/>
        <w:shd w:val="clear" w:color="auto" w:fill="000000"/>
        <w:lang w:val="x-none" w:eastAsia="x-none"/>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FB0527" w:rsidTr="00E47FC0">
      <w:tc>
        <w:tcPr>
          <w:tcW w:w="1646" w:type="dxa"/>
          <w:tcBorders>
            <w:top w:val="nil"/>
            <w:left w:val="nil"/>
            <w:bottom w:val="nil"/>
            <w:right w:val="nil"/>
          </w:tcBorders>
        </w:tcPr>
        <w:p w:rsidR="00FB0527" w:rsidRPr="008137E3" w:rsidRDefault="00FB0527" w:rsidP="00E47FC0">
          <w:pPr>
            <w:pStyle w:val="ac"/>
            <w:rPr>
              <w:color w:val="002060"/>
            </w:rPr>
          </w:pPr>
        </w:p>
      </w:tc>
      <w:tc>
        <w:tcPr>
          <w:tcW w:w="9714" w:type="dxa"/>
          <w:tcBorders>
            <w:top w:val="thinThickMediumGap" w:sz="12" w:space="0" w:color="0033CC"/>
            <w:left w:val="nil"/>
            <w:bottom w:val="nil"/>
            <w:right w:val="nil"/>
          </w:tcBorders>
        </w:tcPr>
        <w:p w:rsidR="00FB0527" w:rsidRPr="008137E3" w:rsidRDefault="00FB0527" w:rsidP="00E47FC0">
          <w:pPr>
            <w:pStyle w:val="ac"/>
            <w:rPr>
              <w:color w:val="002060"/>
            </w:rPr>
          </w:pPr>
        </w:p>
      </w:tc>
      <w:tc>
        <w:tcPr>
          <w:tcW w:w="1086" w:type="dxa"/>
          <w:tcBorders>
            <w:top w:val="nil"/>
            <w:left w:val="nil"/>
            <w:bottom w:val="nil"/>
            <w:right w:val="nil"/>
          </w:tcBorders>
        </w:tcPr>
        <w:p w:rsidR="00FB0527" w:rsidRPr="008137E3" w:rsidRDefault="00FB0527" w:rsidP="00E47FC0">
          <w:pPr>
            <w:pStyle w:val="ac"/>
            <w:rPr>
              <w:color w:val="002060"/>
            </w:rPr>
          </w:pPr>
        </w:p>
      </w:tc>
    </w:tr>
  </w:tbl>
  <w:p w:rsidR="00FB0527" w:rsidRDefault="00FB0527" w:rsidP="00E47FC0">
    <w:pPr>
      <w:pStyle w:val="ac"/>
      <w:rPr>
        <w:color w:val="002060"/>
        <w:sz w:val="2"/>
        <w:szCs w:val="2"/>
      </w:rPr>
    </w:pPr>
  </w:p>
  <w:p w:rsidR="00FB0527" w:rsidRDefault="00FB0527"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69040A5"/>
    <w:multiLevelType w:val="hybridMultilevel"/>
    <w:tmpl w:val="A796A19E"/>
    <w:lvl w:ilvl="0" w:tplc="EF424E0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num>
  <w:num w:numId="3">
    <w:abstractNumId w:val="16"/>
  </w:num>
  <w:num w:numId="4">
    <w:abstractNumId w:val="6"/>
  </w:num>
  <w:num w:numId="5">
    <w:abstractNumId w:val="2"/>
  </w:num>
  <w:num w:numId="6">
    <w:abstractNumId w:val="18"/>
  </w:num>
  <w:num w:numId="7">
    <w:abstractNumId w:val="10"/>
  </w:num>
  <w:num w:numId="8">
    <w:abstractNumId w:val="9"/>
  </w:num>
  <w:num w:numId="9">
    <w:abstractNumId w:val="8"/>
  </w:num>
  <w:num w:numId="10">
    <w:abstractNumId w:val="4"/>
  </w:num>
  <w:num w:numId="11">
    <w:abstractNumId w:val="15"/>
  </w:num>
  <w:num w:numId="12">
    <w:abstractNumId w:val="14"/>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0AFE"/>
    <w:rsid w:val="000134EA"/>
    <w:rsid w:val="000200FA"/>
    <w:rsid w:val="0002029C"/>
    <w:rsid w:val="0002274B"/>
    <w:rsid w:val="000248F6"/>
    <w:rsid w:val="00026832"/>
    <w:rsid w:val="00027223"/>
    <w:rsid w:val="000366EE"/>
    <w:rsid w:val="000459BC"/>
    <w:rsid w:val="00045A9B"/>
    <w:rsid w:val="00045BB7"/>
    <w:rsid w:val="00053833"/>
    <w:rsid w:val="000544A0"/>
    <w:rsid w:val="000547D3"/>
    <w:rsid w:val="00054C52"/>
    <w:rsid w:val="00055C42"/>
    <w:rsid w:val="00056000"/>
    <w:rsid w:val="000560C9"/>
    <w:rsid w:val="00057624"/>
    <w:rsid w:val="000578D8"/>
    <w:rsid w:val="00061356"/>
    <w:rsid w:val="0006260B"/>
    <w:rsid w:val="000627B9"/>
    <w:rsid w:val="00064DD5"/>
    <w:rsid w:val="00070AED"/>
    <w:rsid w:val="00071901"/>
    <w:rsid w:val="00081668"/>
    <w:rsid w:val="00083222"/>
    <w:rsid w:val="00083EF2"/>
    <w:rsid w:val="0009038E"/>
    <w:rsid w:val="000906F6"/>
    <w:rsid w:val="0009160D"/>
    <w:rsid w:val="000945EA"/>
    <w:rsid w:val="000951C4"/>
    <w:rsid w:val="000966F8"/>
    <w:rsid w:val="00096707"/>
    <w:rsid w:val="000969E6"/>
    <w:rsid w:val="000A46C9"/>
    <w:rsid w:val="000B03D9"/>
    <w:rsid w:val="000B074E"/>
    <w:rsid w:val="000B3B90"/>
    <w:rsid w:val="000B4941"/>
    <w:rsid w:val="000B5E4A"/>
    <w:rsid w:val="000B6905"/>
    <w:rsid w:val="000B6B99"/>
    <w:rsid w:val="000B6C4D"/>
    <w:rsid w:val="000B7B91"/>
    <w:rsid w:val="000C1710"/>
    <w:rsid w:val="000C220A"/>
    <w:rsid w:val="000C40FB"/>
    <w:rsid w:val="000C42ED"/>
    <w:rsid w:val="000C5272"/>
    <w:rsid w:val="000C584C"/>
    <w:rsid w:val="000C7A10"/>
    <w:rsid w:val="000D156A"/>
    <w:rsid w:val="000D46BF"/>
    <w:rsid w:val="000D55B4"/>
    <w:rsid w:val="000E009D"/>
    <w:rsid w:val="000E0FC3"/>
    <w:rsid w:val="000E5DC5"/>
    <w:rsid w:val="000E6EC7"/>
    <w:rsid w:val="000F2080"/>
    <w:rsid w:val="000F486E"/>
    <w:rsid w:val="000F58B5"/>
    <w:rsid w:val="000F694D"/>
    <w:rsid w:val="00101855"/>
    <w:rsid w:val="00104030"/>
    <w:rsid w:val="00105EE6"/>
    <w:rsid w:val="00116790"/>
    <w:rsid w:val="001169A6"/>
    <w:rsid w:val="001202F5"/>
    <w:rsid w:val="001210D5"/>
    <w:rsid w:val="00121C3F"/>
    <w:rsid w:val="00122720"/>
    <w:rsid w:val="00122852"/>
    <w:rsid w:val="00123294"/>
    <w:rsid w:val="00123AE7"/>
    <w:rsid w:val="00124AF9"/>
    <w:rsid w:val="00131601"/>
    <w:rsid w:val="00133DD1"/>
    <w:rsid w:val="001374CA"/>
    <w:rsid w:val="001471EC"/>
    <w:rsid w:val="0014793F"/>
    <w:rsid w:val="001618C8"/>
    <w:rsid w:val="00162EAC"/>
    <w:rsid w:val="001641D7"/>
    <w:rsid w:val="00170616"/>
    <w:rsid w:val="00170F90"/>
    <w:rsid w:val="001723CA"/>
    <w:rsid w:val="0017367B"/>
    <w:rsid w:val="00176A60"/>
    <w:rsid w:val="00177F99"/>
    <w:rsid w:val="00191832"/>
    <w:rsid w:val="0019260D"/>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DBB"/>
    <w:rsid w:val="001D7CD1"/>
    <w:rsid w:val="001E0A31"/>
    <w:rsid w:val="001E0CCD"/>
    <w:rsid w:val="001E47E1"/>
    <w:rsid w:val="001E4F6E"/>
    <w:rsid w:val="001F22DE"/>
    <w:rsid w:val="001F2900"/>
    <w:rsid w:val="002034B5"/>
    <w:rsid w:val="00205838"/>
    <w:rsid w:val="00207C89"/>
    <w:rsid w:val="00212F32"/>
    <w:rsid w:val="00214058"/>
    <w:rsid w:val="002219C7"/>
    <w:rsid w:val="00222F8A"/>
    <w:rsid w:val="00225BF7"/>
    <w:rsid w:val="00232FA4"/>
    <w:rsid w:val="00241116"/>
    <w:rsid w:val="0024309E"/>
    <w:rsid w:val="0024557D"/>
    <w:rsid w:val="002463B5"/>
    <w:rsid w:val="00250D24"/>
    <w:rsid w:val="0025655C"/>
    <w:rsid w:val="00256CD0"/>
    <w:rsid w:val="00262B54"/>
    <w:rsid w:val="002648EA"/>
    <w:rsid w:val="00265628"/>
    <w:rsid w:val="00273AF8"/>
    <w:rsid w:val="00274244"/>
    <w:rsid w:val="00275BA7"/>
    <w:rsid w:val="002815D4"/>
    <w:rsid w:val="00281BDD"/>
    <w:rsid w:val="002827C5"/>
    <w:rsid w:val="00283495"/>
    <w:rsid w:val="002859C5"/>
    <w:rsid w:val="002864BE"/>
    <w:rsid w:val="00291077"/>
    <w:rsid w:val="00291E64"/>
    <w:rsid w:val="0029542E"/>
    <w:rsid w:val="00296BD3"/>
    <w:rsid w:val="002974B2"/>
    <w:rsid w:val="002A0145"/>
    <w:rsid w:val="002A2FCC"/>
    <w:rsid w:val="002A3550"/>
    <w:rsid w:val="002B6E1B"/>
    <w:rsid w:val="002C05D5"/>
    <w:rsid w:val="002C2948"/>
    <w:rsid w:val="002C57B0"/>
    <w:rsid w:val="002D240B"/>
    <w:rsid w:val="002D4A09"/>
    <w:rsid w:val="002D77B2"/>
    <w:rsid w:val="002E06C3"/>
    <w:rsid w:val="002E16F5"/>
    <w:rsid w:val="002E43CD"/>
    <w:rsid w:val="002F2160"/>
    <w:rsid w:val="002F7882"/>
    <w:rsid w:val="00303D1B"/>
    <w:rsid w:val="00305DDD"/>
    <w:rsid w:val="00306935"/>
    <w:rsid w:val="00315F06"/>
    <w:rsid w:val="00315F5A"/>
    <w:rsid w:val="00316158"/>
    <w:rsid w:val="0032455D"/>
    <w:rsid w:val="003273EF"/>
    <w:rsid w:val="00332422"/>
    <w:rsid w:val="0033432F"/>
    <w:rsid w:val="00340128"/>
    <w:rsid w:val="0034426A"/>
    <w:rsid w:val="00344E51"/>
    <w:rsid w:val="0034527B"/>
    <w:rsid w:val="003468AB"/>
    <w:rsid w:val="00346DE7"/>
    <w:rsid w:val="0034790F"/>
    <w:rsid w:val="00351316"/>
    <w:rsid w:val="0035737F"/>
    <w:rsid w:val="00361C6B"/>
    <w:rsid w:val="00362618"/>
    <w:rsid w:val="003649EB"/>
    <w:rsid w:val="003669E2"/>
    <w:rsid w:val="00366ADD"/>
    <w:rsid w:val="00366E4E"/>
    <w:rsid w:val="00372AE2"/>
    <w:rsid w:val="00374823"/>
    <w:rsid w:val="00380963"/>
    <w:rsid w:val="003812DE"/>
    <w:rsid w:val="0038297E"/>
    <w:rsid w:val="00387C14"/>
    <w:rsid w:val="00387D40"/>
    <w:rsid w:val="00390E5D"/>
    <w:rsid w:val="00391F3B"/>
    <w:rsid w:val="00397773"/>
    <w:rsid w:val="003A710D"/>
    <w:rsid w:val="003B1C5B"/>
    <w:rsid w:val="003B446D"/>
    <w:rsid w:val="003B461C"/>
    <w:rsid w:val="003C198F"/>
    <w:rsid w:val="003C299C"/>
    <w:rsid w:val="003C3C9D"/>
    <w:rsid w:val="003C4223"/>
    <w:rsid w:val="003C4E57"/>
    <w:rsid w:val="003C4EB8"/>
    <w:rsid w:val="003C5E1E"/>
    <w:rsid w:val="003C7633"/>
    <w:rsid w:val="003D0904"/>
    <w:rsid w:val="003D4F9E"/>
    <w:rsid w:val="003E05D5"/>
    <w:rsid w:val="003E1858"/>
    <w:rsid w:val="003E2442"/>
    <w:rsid w:val="003E7FF6"/>
    <w:rsid w:val="003F1CCB"/>
    <w:rsid w:val="003F25E9"/>
    <w:rsid w:val="003F31FE"/>
    <w:rsid w:val="003F68AF"/>
    <w:rsid w:val="00400C13"/>
    <w:rsid w:val="004074D0"/>
    <w:rsid w:val="00407A7B"/>
    <w:rsid w:val="004122B1"/>
    <w:rsid w:val="004151B1"/>
    <w:rsid w:val="004214A5"/>
    <w:rsid w:val="00422985"/>
    <w:rsid w:val="00422DA5"/>
    <w:rsid w:val="00424839"/>
    <w:rsid w:val="00425B4E"/>
    <w:rsid w:val="0042672C"/>
    <w:rsid w:val="00431534"/>
    <w:rsid w:val="00431F4F"/>
    <w:rsid w:val="004374FB"/>
    <w:rsid w:val="004452DE"/>
    <w:rsid w:val="004453D9"/>
    <w:rsid w:val="004473F5"/>
    <w:rsid w:val="004549D1"/>
    <w:rsid w:val="00455928"/>
    <w:rsid w:val="00455F3A"/>
    <w:rsid w:val="00456F0B"/>
    <w:rsid w:val="00457204"/>
    <w:rsid w:val="00460FD2"/>
    <w:rsid w:val="0046651F"/>
    <w:rsid w:val="0046659F"/>
    <w:rsid w:val="004713A4"/>
    <w:rsid w:val="00480653"/>
    <w:rsid w:val="00481354"/>
    <w:rsid w:val="0048531E"/>
    <w:rsid w:val="004853B7"/>
    <w:rsid w:val="004856EF"/>
    <w:rsid w:val="004860AA"/>
    <w:rsid w:val="00487541"/>
    <w:rsid w:val="00496E48"/>
    <w:rsid w:val="004A1733"/>
    <w:rsid w:val="004A373F"/>
    <w:rsid w:val="004B1587"/>
    <w:rsid w:val="004B3B93"/>
    <w:rsid w:val="004B4BF7"/>
    <w:rsid w:val="004B4D5A"/>
    <w:rsid w:val="004B767B"/>
    <w:rsid w:val="004B77E4"/>
    <w:rsid w:val="004C0986"/>
    <w:rsid w:val="004C0D04"/>
    <w:rsid w:val="004C54FD"/>
    <w:rsid w:val="004C6B0E"/>
    <w:rsid w:val="004C74EC"/>
    <w:rsid w:val="004D0872"/>
    <w:rsid w:val="004D0B0B"/>
    <w:rsid w:val="004D2C9E"/>
    <w:rsid w:val="004D4DF2"/>
    <w:rsid w:val="004D5898"/>
    <w:rsid w:val="004E0920"/>
    <w:rsid w:val="004E0E82"/>
    <w:rsid w:val="004E150B"/>
    <w:rsid w:val="004E3D4F"/>
    <w:rsid w:val="004E59DD"/>
    <w:rsid w:val="004E63CD"/>
    <w:rsid w:val="004E665B"/>
    <w:rsid w:val="004E7486"/>
    <w:rsid w:val="004E79D1"/>
    <w:rsid w:val="004F4DF4"/>
    <w:rsid w:val="00504002"/>
    <w:rsid w:val="005044F7"/>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33C2"/>
    <w:rsid w:val="005676A8"/>
    <w:rsid w:val="00567FD9"/>
    <w:rsid w:val="00573427"/>
    <w:rsid w:val="00577FD3"/>
    <w:rsid w:val="00581907"/>
    <w:rsid w:val="00586B74"/>
    <w:rsid w:val="00587E93"/>
    <w:rsid w:val="00590BA2"/>
    <w:rsid w:val="0059249E"/>
    <w:rsid w:val="00592D8D"/>
    <w:rsid w:val="0059469D"/>
    <w:rsid w:val="0059615A"/>
    <w:rsid w:val="00596BC0"/>
    <w:rsid w:val="005A11A7"/>
    <w:rsid w:val="005A3F6F"/>
    <w:rsid w:val="005A52E8"/>
    <w:rsid w:val="005A5589"/>
    <w:rsid w:val="005A5949"/>
    <w:rsid w:val="005B3A98"/>
    <w:rsid w:val="005B7AE0"/>
    <w:rsid w:val="005C2C23"/>
    <w:rsid w:val="005C7150"/>
    <w:rsid w:val="005C7674"/>
    <w:rsid w:val="005C76C5"/>
    <w:rsid w:val="005D28D9"/>
    <w:rsid w:val="005E1008"/>
    <w:rsid w:val="005E11D1"/>
    <w:rsid w:val="005E22EA"/>
    <w:rsid w:val="005E4338"/>
    <w:rsid w:val="005E4ADF"/>
    <w:rsid w:val="005E50B0"/>
    <w:rsid w:val="005E639D"/>
    <w:rsid w:val="005E651D"/>
    <w:rsid w:val="005E6757"/>
    <w:rsid w:val="005E7E17"/>
    <w:rsid w:val="005F1586"/>
    <w:rsid w:val="005F3889"/>
    <w:rsid w:val="005F7107"/>
    <w:rsid w:val="00603820"/>
    <w:rsid w:val="00605D7B"/>
    <w:rsid w:val="0060775C"/>
    <w:rsid w:val="006134AB"/>
    <w:rsid w:val="00616007"/>
    <w:rsid w:val="006168BE"/>
    <w:rsid w:val="00617B0A"/>
    <w:rsid w:val="00622175"/>
    <w:rsid w:val="0062396B"/>
    <w:rsid w:val="0062422F"/>
    <w:rsid w:val="0062423B"/>
    <w:rsid w:val="00624CA9"/>
    <w:rsid w:val="00625812"/>
    <w:rsid w:val="006278E9"/>
    <w:rsid w:val="006306F2"/>
    <w:rsid w:val="00631C3F"/>
    <w:rsid w:val="00631CC4"/>
    <w:rsid w:val="00632126"/>
    <w:rsid w:val="00640374"/>
    <w:rsid w:val="00643A7C"/>
    <w:rsid w:val="00644D1B"/>
    <w:rsid w:val="00650ADB"/>
    <w:rsid w:val="00650EE1"/>
    <w:rsid w:val="00654DF3"/>
    <w:rsid w:val="00656CD2"/>
    <w:rsid w:val="00664424"/>
    <w:rsid w:val="00664D6F"/>
    <w:rsid w:val="00665FE9"/>
    <w:rsid w:val="006672B2"/>
    <w:rsid w:val="00667317"/>
    <w:rsid w:val="006722AF"/>
    <w:rsid w:val="006726A8"/>
    <w:rsid w:val="00680345"/>
    <w:rsid w:val="00680D14"/>
    <w:rsid w:val="00685251"/>
    <w:rsid w:val="006933D2"/>
    <w:rsid w:val="006935A4"/>
    <w:rsid w:val="006941A9"/>
    <w:rsid w:val="00694724"/>
    <w:rsid w:val="006A04F3"/>
    <w:rsid w:val="006A0B9D"/>
    <w:rsid w:val="006A43A7"/>
    <w:rsid w:val="006A7327"/>
    <w:rsid w:val="006A7F7F"/>
    <w:rsid w:val="006B1AFC"/>
    <w:rsid w:val="006B7082"/>
    <w:rsid w:val="006C5974"/>
    <w:rsid w:val="006C7759"/>
    <w:rsid w:val="006D0A8F"/>
    <w:rsid w:val="006D0D5D"/>
    <w:rsid w:val="006D28F5"/>
    <w:rsid w:val="006D5B94"/>
    <w:rsid w:val="006D6524"/>
    <w:rsid w:val="006E0241"/>
    <w:rsid w:val="006E23DD"/>
    <w:rsid w:val="006E3689"/>
    <w:rsid w:val="006E3A96"/>
    <w:rsid w:val="006F4F72"/>
    <w:rsid w:val="006F6B05"/>
    <w:rsid w:val="007062EB"/>
    <w:rsid w:val="0070668D"/>
    <w:rsid w:val="007126DE"/>
    <w:rsid w:val="00713DDF"/>
    <w:rsid w:val="00717034"/>
    <w:rsid w:val="00720339"/>
    <w:rsid w:val="00721368"/>
    <w:rsid w:val="007225EC"/>
    <w:rsid w:val="00735E92"/>
    <w:rsid w:val="007462BC"/>
    <w:rsid w:val="0075026F"/>
    <w:rsid w:val="00752D5C"/>
    <w:rsid w:val="007625CC"/>
    <w:rsid w:val="00767C6C"/>
    <w:rsid w:val="00772737"/>
    <w:rsid w:val="00776384"/>
    <w:rsid w:val="007769CF"/>
    <w:rsid w:val="0078043E"/>
    <w:rsid w:val="0078368D"/>
    <w:rsid w:val="0078730F"/>
    <w:rsid w:val="0079189B"/>
    <w:rsid w:val="007951F9"/>
    <w:rsid w:val="007A1F85"/>
    <w:rsid w:val="007A758E"/>
    <w:rsid w:val="007A7B8E"/>
    <w:rsid w:val="007B0F5C"/>
    <w:rsid w:val="007C2690"/>
    <w:rsid w:val="007D0F19"/>
    <w:rsid w:val="007D1692"/>
    <w:rsid w:val="007D4D72"/>
    <w:rsid w:val="007E1E4D"/>
    <w:rsid w:val="007E66B9"/>
    <w:rsid w:val="007E7DEB"/>
    <w:rsid w:val="007F1178"/>
    <w:rsid w:val="007F4996"/>
    <w:rsid w:val="00806637"/>
    <w:rsid w:val="00807409"/>
    <w:rsid w:val="0081092E"/>
    <w:rsid w:val="00812082"/>
    <w:rsid w:val="008137E3"/>
    <w:rsid w:val="00813A52"/>
    <w:rsid w:val="00814046"/>
    <w:rsid w:val="008155DA"/>
    <w:rsid w:val="00822D63"/>
    <w:rsid w:val="00832A61"/>
    <w:rsid w:val="008340AE"/>
    <w:rsid w:val="00835674"/>
    <w:rsid w:val="00835E6A"/>
    <w:rsid w:val="00836BF1"/>
    <w:rsid w:val="008458F7"/>
    <w:rsid w:val="00852FE2"/>
    <w:rsid w:val="0085771E"/>
    <w:rsid w:val="00864D75"/>
    <w:rsid w:val="00866CFE"/>
    <w:rsid w:val="008738DF"/>
    <w:rsid w:val="008743D2"/>
    <w:rsid w:val="008747CE"/>
    <w:rsid w:val="00880084"/>
    <w:rsid w:val="00887609"/>
    <w:rsid w:val="00897760"/>
    <w:rsid w:val="008A12D0"/>
    <w:rsid w:val="008A1BB4"/>
    <w:rsid w:val="008B022A"/>
    <w:rsid w:val="008B11FB"/>
    <w:rsid w:val="008B2A62"/>
    <w:rsid w:val="008B49C0"/>
    <w:rsid w:val="008B51EF"/>
    <w:rsid w:val="008B6479"/>
    <w:rsid w:val="008C64F7"/>
    <w:rsid w:val="008D1925"/>
    <w:rsid w:val="008D3BE2"/>
    <w:rsid w:val="008D4C70"/>
    <w:rsid w:val="008D7B60"/>
    <w:rsid w:val="008D7C42"/>
    <w:rsid w:val="008D7F69"/>
    <w:rsid w:val="008E0242"/>
    <w:rsid w:val="008E6F88"/>
    <w:rsid w:val="008F0370"/>
    <w:rsid w:val="008F59CB"/>
    <w:rsid w:val="008F7486"/>
    <w:rsid w:val="00905009"/>
    <w:rsid w:val="00907BC3"/>
    <w:rsid w:val="00911AD4"/>
    <w:rsid w:val="0091227C"/>
    <w:rsid w:val="00912A7F"/>
    <w:rsid w:val="00913D5E"/>
    <w:rsid w:val="00914E3B"/>
    <w:rsid w:val="009169D3"/>
    <w:rsid w:val="00917928"/>
    <w:rsid w:val="00917D02"/>
    <w:rsid w:val="009201D9"/>
    <w:rsid w:val="00920818"/>
    <w:rsid w:val="009210B1"/>
    <w:rsid w:val="009222E4"/>
    <w:rsid w:val="00923DE2"/>
    <w:rsid w:val="00926B3D"/>
    <w:rsid w:val="00927E6A"/>
    <w:rsid w:val="00933588"/>
    <w:rsid w:val="009336BD"/>
    <w:rsid w:val="00936E72"/>
    <w:rsid w:val="009374C9"/>
    <w:rsid w:val="00937E99"/>
    <w:rsid w:val="00940D2A"/>
    <w:rsid w:val="00941599"/>
    <w:rsid w:val="00943E48"/>
    <w:rsid w:val="00946107"/>
    <w:rsid w:val="00947322"/>
    <w:rsid w:val="009550FB"/>
    <w:rsid w:val="00956BB9"/>
    <w:rsid w:val="009613E5"/>
    <w:rsid w:val="00963700"/>
    <w:rsid w:val="009656C6"/>
    <w:rsid w:val="00965AA7"/>
    <w:rsid w:val="00965DA6"/>
    <w:rsid w:val="00966723"/>
    <w:rsid w:val="00967821"/>
    <w:rsid w:val="009711BB"/>
    <w:rsid w:val="00972A7A"/>
    <w:rsid w:val="009767C3"/>
    <w:rsid w:val="0097766C"/>
    <w:rsid w:val="00984310"/>
    <w:rsid w:val="009872AF"/>
    <w:rsid w:val="00991104"/>
    <w:rsid w:val="00992F18"/>
    <w:rsid w:val="0099335D"/>
    <w:rsid w:val="0099352F"/>
    <w:rsid w:val="00996153"/>
    <w:rsid w:val="00996EB1"/>
    <w:rsid w:val="009A0D34"/>
    <w:rsid w:val="009A358E"/>
    <w:rsid w:val="009A49E2"/>
    <w:rsid w:val="009A662A"/>
    <w:rsid w:val="009B02F8"/>
    <w:rsid w:val="009B2C5A"/>
    <w:rsid w:val="009B4231"/>
    <w:rsid w:val="009B50F3"/>
    <w:rsid w:val="009B538C"/>
    <w:rsid w:val="009B60D2"/>
    <w:rsid w:val="009B6602"/>
    <w:rsid w:val="009B6D1A"/>
    <w:rsid w:val="009C08C8"/>
    <w:rsid w:val="009C1045"/>
    <w:rsid w:val="009C1DD0"/>
    <w:rsid w:val="009C33B5"/>
    <w:rsid w:val="009C349A"/>
    <w:rsid w:val="009D3C28"/>
    <w:rsid w:val="009E1CC4"/>
    <w:rsid w:val="009E1F37"/>
    <w:rsid w:val="009E4C25"/>
    <w:rsid w:val="009F74E7"/>
    <w:rsid w:val="00A00785"/>
    <w:rsid w:val="00A008D1"/>
    <w:rsid w:val="00A0353E"/>
    <w:rsid w:val="00A04440"/>
    <w:rsid w:val="00A070ED"/>
    <w:rsid w:val="00A10827"/>
    <w:rsid w:val="00A136FF"/>
    <w:rsid w:val="00A15484"/>
    <w:rsid w:val="00A15AFD"/>
    <w:rsid w:val="00A16399"/>
    <w:rsid w:val="00A16B3C"/>
    <w:rsid w:val="00A16F3B"/>
    <w:rsid w:val="00A2574B"/>
    <w:rsid w:val="00A35C65"/>
    <w:rsid w:val="00A37514"/>
    <w:rsid w:val="00A41D3F"/>
    <w:rsid w:val="00A46647"/>
    <w:rsid w:val="00A46950"/>
    <w:rsid w:val="00A50077"/>
    <w:rsid w:val="00A54732"/>
    <w:rsid w:val="00A54A63"/>
    <w:rsid w:val="00A54CFE"/>
    <w:rsid w:val="00A54DD9"/>
    <w:rsid w:val="00A6344C"/>
    <w:rsid w:val="00A65AFF"/>
    <w:rsid w:val="00A65CDB"/>
    <w:rsid w:val="00A65F03"/>
    <w:rsid w:val="00A66A1D"/>
    <w:rsid w:val="00A7094D"/>
    <w:rsid w:val="00A71F2F"/>
    <w:rsid w:val="00A74446"/>
    <w:rsid w:val="00A7539B"/>
    <w:rsid w:val="00A77D2B"/>
    <w:rsid w:val="00A80407"/>
    <w:rsid w:val="00A82428"/>
    <w:rsid w:val="00A83009"/>
    <w:rsid w:val="00A92128"/>
    <w:rsid w:val="00A94136"/>
    <w:rsid w:val="00AA0B01"/>
    <w:rsid w:val="00AA2956"/>
    <w:rsid w:val="00AB7B58"/>
    <w:rsid w:val="00AC3B6A"/>
    <w:rsid w:val="00AC5389"/>
    <w:rsid w:val="00AC5A26"/>
    <w:rsid w:val="00AC6C16"/>
    <w:rsid w:val="00AD24B2"/>
    <w:rsid w:val="00AD4BC2"/>
    <w:rsid w:val="00AE2758"/>
    <w:rsid w:val="00AE4A27"/>
    <w:rsid w:val="00AE6183"/>
    <w:rsid w:val="00AE7F40"/>
    <w:rsid w:val="00AF0869"/>
    <w:rsid w:val="00AF09D2"/>
    <w:rsid w:val="00B12C7D"/>
    <w:rsid w:val="00B32040"/>
    <w:rsid w:val="00B3343A"/>
    <w:rsid w:val="00B43914"/>
    <w:rsid w:val="00B45A02"/>
    <w:rsid w:val="00B46A8B"/>
    <w:rsid w:val="00B50585"/>
    <w:rsid w:val="00B5291A"/>
    <w:rsid w:val="00B61FAE"/>
    <w:rsid w:val="00B62672"/>
    <w:rsid w:val="00B715A3"/>
    <w:rsid w:val="00B71B13"/>
    <w:rsid w:val="00B816BC"/>
    <w:rsid w:val="00B8368F"/>
    <w:rsid w:val="00B83D33"/>
    <w:rsid w:val="00B85075"/>
    <w:rsid w:val="00B85286"/>
    <w:rsid w:val="00B865B6"/>
    <w:rsid w:val="00B879AC"/>
    <w:rsid w:val="00B932F6"/>
    <w:rsid w:val="00B95B15"/>
    <w:rsid w:val="00BA6593"/>
    <w:rsid w:val="00BB3F64"/>
    <w:rsid w:val="00BB43AC"/>
    <w:rsid w:val="00BB7696"/>
    <w:rsid w:val="00BC3405"/>
    <w:rsid w:val="00BC525D"/>
    <w:rsid w:val="00BC59DA"/>
    <w:rsid w:val="00BC5F1B"/>
    <w:rsid w:val="00BC7771"/>
    <w:rsid w:val="00BE2A29"/>
    <w:rsid w:val="00BF0FD4"/>
    <w:rsid w:val="00BF3870"/>
    <w:rsid w:val="00BF6D1B"/>
    <w:rsid w:val="00BF6EE9"/>
    <w:rsid w:val="00C0131E"/>
    <w:rsid w:val="00C03855"/>
    <w:rsid w:val="00C0598A"/>
    <w:rsid w:val="00C07FF0"/>
    <w:rsid w:val="00C1182F"/>
    <w:rsid w:val="00C16BC1"/>
    <w:rsid w:val="00C213A0"/>
    <w:rsid w:val="00C315F5"/>
    <w:rsid w:val="00C33D24"/>
    <w:rsid w:val="00C36D73"/>
    <w:rsid w:val="00C402BA"/>
    <w:rsid w:val="00C40650"/>
    <w:rsid w:val="00C42B53"/>
    <w:rsid w:val="00C4737D"/>
    <w:rsid w:val="00C47B42"/>
    <w:rsid w:val="00C50FB6"/>
    <w:rsid w:val="00C520A4"/>
    <w:rsid w:val="00C564D5"/>
    <w:rsid w:val="00C6035D"/>
    <w:rsid w:val="00C61543"/>
    <w:rsid w:val="00C61755"/>
    <w:rsid w:val="00C654A7"/>
    <w:rsid w:val="00C713F2"/>
    <w:rsid w:val="00C714C9"/>
    <w:rsid w:val="00C72A77"/>
    <w:rsid w:val="00C77459"/>
    <w:rsid w:val="00C77506"/>
    <w:rsid w:val="00C85A9D"/>
    <w:rsid w:val="00C9319A"/>
    <w:rsid w:val="00C973EF"/>
    <w:rsid w:val="00CA13FD"/>
    <w:rsid w:val="00CA258E"/>
    <w:rsid w:val="00CA291E"/>
    <w:rsid w:val="00CA3638"/>
    <w:rsid w:val="00CA37C1"/>
    <w:rsid w:val="00CB2356"/>
    <w:rsid w:val="00CB2490"/>
    <w:rsid w:val="00CB5868"/>
    <w:rsid w:val="00CB7B66"/>
    <w:rsid w:val="00CC4241"/>
    <w:rsid w:val="00CC5D6B"/>
    <w:rsid w:val="00CC789C"/>
    <w:rsid w:val="00CD19E4"/>
    <w:rsid w:val="00CD3278"/>
    <w:rsid w:val="00CD7FDF"/>
    <w:rsid w:val="00CE36BA"/>
    <w:rsid w:val="00CE7626"/>
    <w:rsid w:val="00CF087C"/>
    <w:rsid w:val="00CF093F"/>
    <w:rsid w:val="00CF0BC9"/>
    <w:rsid w:val="00CF2274"/>
    <w:rsid w:val="00CF5357"/>
    <w:rsid w:val="00CF659C"/>
    <w:rsid w:val="00CF66BD"/>
    <w:rsid w:val="00CF6FC0"/>
    <w:rsid w:val="00D007E1"/>
    <w:rsid w:val="00D05523"/>
    <w:rsid w:val="00D11805"/>
    <w:rsid w:val="00D12EBE"/>
    <w:rsid w:val="00D24796"/>
    <w:rsid w:val="00D31599"/>
    <w:rsid w:val="00D3169E"/>
    <w:rsid w:val="00D3531E"/>
    <w:rsid w:val="00D44A1E"/>
    <w:rsid w:val="00D52D63"/>
    <w:rsid w:val="00D565DC"/>
    <w:rsid w:val="00D57561"/>
    <w:rsid w:val="00D61B1F"/>
    <w:rsid w:val="00D70715"/>
    <w:rsid w:val="00D72005"/>
    <w:rsid w:val="00D7227D"/>
    <w:rsid w:val="00D73D73"/>
    <w:rsid w:val="00D75502"/>
    <w:rsid w:val="00D854B8"/>
    <w:rsid w:val="00D85AC2"/>
    <w:rsid w:val="00D86BE3"/>
    <w:rsid w:val="00D9033F"/>
    <w:rsid w:val="00D908DE"/>
    <w:rsid w:val="00D94311"/>
    <w:rsid w:val="00D96B98"/>
    <w:rsid w:val="00DA2775"/>
    <w:rsid w:val="00DB5DD7"/>
    <w:rsid w:val="00DC014F"/>
    <w:rsid w:val="00DC0E81"/>
    <w:rsid w:val="00DC1EBD"/>
    <w:rsid w:val="00DC240E"/>
    <w:rsid w:val="00DC3D13"/>
    <w:rsid w:val="00DC77EB"/>
    <w:rsid w:val="00DC7FB0"/>
    <w:rsid w:val="00DD0D23"/>
    <w:rsid w:val="00DD2AB1"/>
    <w:rsid w:val="00DD4EF0"/>
    <w:rsid w:val="00DD54D6"/>
    <w:rsid w:val="00DE4C48"/>
    <w:rsid w:val="00DF3B59"/>
    <w:rsid w:val="00DF3C7B"/>
    <w:rsid w:val="00DF4844"/>
    <w:rsid w:val="00DF7B6F"/>
    <w:rsid w:val="00E05E61"/>
    <w:rsid w:val="00E06F3C"/>
    <w:rsid w:val="00E100D6"/>
    <w:rsid w:val="00E1121D"/>
    <w:rsid w:val="00E131FA"/>
    <w:rsid w:val="00E1339C"/>
    <w:rsid w:val="00E139C3"/>
    <w:rsid w:val="00E13FC1"/>
    <w:rsid w:val="00E1752B"/>
    <w:rsid w:val="00E227F2"/>
    <w:rsid w:val="00E26111"/>
    <w:rsid w:val="00E30128"/>
    <w:rsid w:val="00E30694"/>
    <w:rsid w:val="00E34C24"/>
    <w:rsid w:val="00E3765C"/>
    <w:rsid w:val="00E37DE1"/>
    <w:rsid w:val="00E45A6D"/>
    <w:rsid w:val="00E47FC0"/>
    <w:rsid w:val="00E51B32"/>
    <w:rsid w:val="00E53F33"/>
    <w:rsid w:val="00E55EEB"/>
    <w:rsid w:val="00E5628F"/>
    <w:rsid w:val="00E60AE7"/>
    <w:rsid w:val="00E6141F"/>
    <w:rsid w:val="00E6325C"/>
    <w:rsid w:val="00E664DE"/>
    <w:rsid w:val="00E71415"/>
    <w:rsid w:val="00E73993"/>
    <w:rsid w:val="00E83B35"/>
    <w:rsid w:val="00E8626A"/>
    <w:rsid w:val="00E86AC6"/>
    <w:rsid w:val="00E90A92"/>
    <w:rsid w:val="00E92CC6"/>
    <w:rsid w:val="00E9344A"/>
    <w:rsid w:val="00E93D02"/>
    <w:rsid w:val="00E93DB4"/>
    <w:rsid w:val="00EA6029"/>
    <w:rsid w:val="00EA6158"/>
    <w:rsid w:val="00EB1B84"/>
    <w:rsid w:val="00EB2918"/>
    <w:rsid w:val="00EB390D"/>
    <w:rsid w:val="00EB49F7"/>
    <w:rsid w:val="00EB5B04"/>
    <w:rsid w:val="00EC0365"/>
    <w:rsid w:val="00EC472B"/>
    <w:rsid w:val="00EC550A"/>
    <w:rsid w:val="00EC5966"/>
    <w:rsid w:val="00EC5E94"/>
    <w:rsid w:val="00ED258B"/>
    <w:rsid w:val="00ED3C32"/>
    <w:rsid w:val="00ED49F9"/>
    <w:rsid w:val="00EE1C74"/>
    <w:rsid w:val="00EE6362"/>
    <w:rsid w:val="00EF0C0F"/>
    <w:rsid w:val="00EF18A5"/>
    <w:rsid w:val="00EF1B40"/>
    <w:rsid w:val="00EF403D"/>
    <w:rsid w:val="00F061EC"/>
    <w:rsid w:val="00F069E0"/>
    <w:rsid w:val="00F07B7A"/>
    <w:rsid w:val="00F117CC"/>
    <w:rsid w:val="00F14A7D"/>
    <w:rsid w:val="00F2103F"/>
    <w:rsid w:val="00F21059"/>
    <w:rsid w:val="00F24BE0"/>
    <w:rsid w:val="00F26408"/>
    <w:rsid w:val="00F26867"/>
    <w:rsid w:val="00F26F1E"/>
    <w:rsid w:val="00F30202"/>
    <w:rsid w:val="00F31043"/>
    <w:rsid w:val="00F32B8E"/>
    <w:rsid w:val="00F37FB4"/>
    <w:rsid w:val="00F4049F"/>
    <w:rsid w:val="00F408F5"/>
    <w:rsid w:val="00F429A4"/>
    <w:rsid w:val="00F52844"/>
    <w:rsid w:val="00F52C66"/>
    <w:rsid w:val="00F55B73"/>
    <w:rsid w:val="00F560DB"/>
    <w:rsid w:val="00F56C8D"/>
    <w:rsid w:val="00F57152"/>
    <w:rsid w:val="00F57A99"/>
    <w:rsid w:val="00F57E7D"/>
    <w:rsid w:val="00F63560"/>
    <w:rsid w:val="00F63E58"/>
    <w:rsid w:val="00F645DB"/>
    <w:rsid w:val="00F7122D"/>
    <w:rsid w:val="00F7515F"/>
    <w:rsid w:val="00F7651E"/>
    <w:rsid w:val="00F774EB"/>
    <w:rsid w:val="00F8224F"/>
    <w:rsid w:val="00F824CF"/>
    <w:rsid w:val="00F83541"/>
    <w:rsid w:val="00F85FC7"/>
    <w:rsid w:val="00F8713A"/>
    <w:rsid w:val="00F90714"/>
    <w:rsid w:val="00F90EF2"/>
    <w:rsid w:val="00F91542"/>
    <w:rsid w:val="00FA4B60"/>
    <w:rsid w:val="00FA7113"/>
    <w:rsid w:val="00FB0527"/>
    <w:rsid w:val="00FC0F1A"/>
    <w:rsid w:val="00FC20AE"/>
    <w:rsid w:val="00FC2242"/>
    <w:rsid w:val="00FC416E"/>
    <w:rsid w:val="00FC6149"/>
    <w:rsid w:val="00FC6CE2"/>
    <w:rsid w:val="00FC7201"/>
    <w:rsid w:val="00FD1356"/>
    <w:rsid w:val="00FD1513"/>
    <w:rsid w:val="00FE1FA9"/>
    <w:rsid w:val="00FE591F"/>
    <w:rsid w:val="00FF104E"/>
    <w:rsid w:val="00FF49CF"/>
    <w:rsid w:val="00FF6933"/>
    <w:rsid w:val="00FF7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A8CBBF5-0D26-42FC-943A-36C2256C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C0"/>
    <w:rPr>
      <w:sz w:val="24"/>
      <w:szCs w:val="24"/>
      <w:lang w:val="ru-RU" w:eastAsia="ru-RU"/>
    </w:rPr>
  </w:style>
  <w:style w:type="paragraph" w:styleId="1">
    <w:name w:val="heading 1"/>
    <w:basedOn w:val="a"/>
    <w:next w:val="a"/>
    <w:qFormat/>
    <w:rsid w:val="00596BC0"/>
    <w:pPr>
      <w:keepNext/>
      <w:tabs>
        <w:tab w:val="left" w:pos="3435"/>
      </w:tabs>
      <w:outlineLvl w:val="0"/>
    </w:pPr>
    <w:rPr>
      <w:sz w:val="28"/>
      <w:u w:val="single"/>
      <w:lang w:val="uk-UA"/>
    </w:rPr>
  </w:style>
  <w:style w:type="paragraph" w:styleId="2">
    <w:name w:val="heading 2"/>
    <w:basedOn w:val="a"/>
    <w:next w:val="a"/>
    <w:qFormat/>
    <w:rsid w:val="00596BC0"/>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BC0"/>
    <w:pPr>
      <w:ind w:left="4680"/>
    </w:pPr>
    <w:rPr>
      <w:b/>
      <w:bCs/>
      <w:sz w:val="28"/>
      <w:lang w:val="uk-UA"/>
    </w:rPr>
  </w:style>
  <w:style w:type="paragraph" w:styleId="a5">
    <w:name w:val="Body Text"/>
    <w:basedOn w:val="a"/>
    <w:rsid w:val="00596BC0"/>
    <w:pPr>
      <w:jc w:val="both"/>
    </w:pPr>
    <w:rPr>
      <w:sz w:val="28"/>
      <w:lang w:val="uk-UA"/>
    </w:rPr>
  </w:style>
  <w:style w:type="paragraph" w:styleId="20">
    <w:name w:val="Body Text 2"/>
    <w:basedOn w:val="a"/>
    <w:link w:val="21"/>
    <w:rsid w:val="00596BC0"/>
    <w:pPr>
      <w:jc w:val="both"/>
    </w:pPr>
    <w:rPr>
      <w:sz w:val="28"/>
      <w:szCs w:val="28"/>
      <w:lang w:val="uk-UA"/>
    </w:rPr>
  </w:style>
  <w:style w:type="paragraph" w:styleId="3">
    <w:name w:val="Body Text 3"/>
    <w:basedOn w:val="a"/>
    <w:rsid w:val="00596BC0"/>
    <w:rPr>
      <w:sz w:val="28"/>
      <w:lang w:val="uk-UA"/>
    </w:rPr>
  </w:style>
  <w:style w:type="paragraph" w:styleId="22">
    <w:name w:val="Body Text Indent 2"/>
    <w:basedOn w:val="a"/>
    <w:rsid w:val="00596BC0"/>
    <w:pPr>
      <w:ind w:firstLine="720"/>
      <w:jc w:val="both"/>
    </w:pPr>
    <w:rPr>
      <w:sz w:val="28"/>
      <w:szCs w:val="20"/>
      <w:u w:val="single"/>
      <w:lang w:val="uk-UA"/>
    </w:rPr>
  </w:style>
  <w:style w:type="paragraph" w:styleId="30">
    <w:name w:val="Body Text Indent 3"/>
    <w:basedOn w:val="a"/>
    <w:rsid w:val="00596BC0"/>
    <w:pPr>
      <w:spacing w:after="120"/>
      <w:ind w:firstLine="567"/>
      <w:jc w:val="both"/>
    </w:pPr>
    <w:rPr>
      <w:sz w:val="28"/>
      <w:szCs w:val="28"/>
      <w:lang w:val="uk-UA"/>
    </w:rPr>
  </w:style>
  <w:style w:type="paragraph" w:customStyle="1" w:styleId="Iniiaiieoaeno">
    <w:name w:val="Iniiaiie oaeno"/>
    <w:basedOn w:val="a"/>
    <w:rsid w:val="00596BC0"/>
    <w:pPr>
      <w:widowControl w:val="0"/>
      <w:jc w:val="both"/>
    </w:pPr>
    <w:rPr>
      <w:sz w:val="28"/>
      <w:szCs w:val="20"/>
      <w:lang w:val="uk-UA"/>
    </w:rPr>
  </w:style>
  <w:style w:type="paragraph" w:customStyle="1" w:styleId="a6">
    <w:name w:val="Îá"/>
    <w:rsid w:val="00596BC0"/>
    <w:pPr>
      <w:widowControl w:val="0"/>
      <w:overflowPunct w:val="0"/>
      <w:autoSpaceDE w:val="0"/>
      <w:autoSpaceDN w:val="0"/>
      <w:adjustRightInd w:val="0"/>
      <w:textAlignment w:val="baseline"/>
    </w:pPr>
    <w:rPr>
      <w:lang w:val="ru-RU" w:eastAsia="ru-RU"/>
    </w:rPr>
  </w:style>
  <w:style w:type="paragraph" w:customStyle="1" w:styleId="10">
    <w:name w:val="Звичайний1"/>
    <w:rsid w:val="00596BC0"/>
    <w:pPr>
      <w:widowControl w:val="0"/>
      <w:ind w:firstLine="720"/>
      <w:jc w:val="both"/>
    </w:pPr>
    <w:rPr>
      <w:sz w:val="24"/>
      <w:lang w:eastAsia="ru-RU"/>
    </w:rPr>
  </w:style>
  <w:style w:type="paragraph" w:customStyle="1" w:styleId="11">
    <w:name w:val="Основний текст1"/>
    <w:basedOn w:val="a"/>
    <w:rsid w:val="00596BC0"/>
    <w:pPr>
      <w:spacing w:after="120"/>
    </w:pPr>
    <w:rPr>
      <w:szCs w:val="20"/>
      <w:lang w:val="uk-UA"/>
    </w:rPr>
  </w:style>
  <w:style w:type="paragraph" w:customStyle="1" w:styleId="a7">
    <w:name w:val="Нормальний текст"/>
    <w:basedOn w:val="a"/>
    <w:link w:val="a8"/>
    <w:rsid w:val="00596BC0"/>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rsid w:val="00596BC0"/>
    <w:pPr>
      <w:ind w:firstLine="720"/>
      <w:jc w:val="both"/>
    </w:pPr>
    <w:rPr>
      <w:sz w:val="28"/>
      <w:szCs w:val="20"/>
      <w:lang w:val="uk-UA"/>
    </w:rPr>
  </w:style>
  <w:style w:type="paragraph" w:styleId="HTML">
    <w:name w:val="HTML Preformatted"/>
    <w:basedOn w:val="a"/>
    <w:link w:val="HTML0"/>
    <w:rsid w:val="0059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rsid w:val="00596BC0"/>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b/>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rsid w:val="00A15484"/>
    <w:pPr>
      <w:tabs>
        <w:tab w:val="center" w:pos="4153"/>
        <w:tab w:val="right" w:pos="8306"/>
      </w:tabs>
      <w:ind w:firstLine="720"/>
    </w:pPr>
    <w:rPr>
      <w:sz w:val="28"/>
      <w:szCs w:val="20"/>
      <w:lang w:val="uk-UA"/>
    </w:rPr>
  </w:style>
  <w:style w:type="character" w:styleId="ae">
    <w:name w:val="page number"/>
    <w:rsid w:val="007F4996"/>
    <w:rPr>
      <w:rFonts w:cs="Times New Roman"/>
    </w:rPr>
  </w:style>
  <w:style w:type="character" w:customStyle="1" w:styleId="apple-style-span">
    <w:name w:val="apple-style-span"/>
    <w:rsid w:val="00F069E0"/>
    <w:rPr>
      <w:rFonts w:cs="Times New Roman"/>
    </w:rPr>
  </w:style>
  <w:style w:type="character" w:customStyle="1" w:styleId="a8">
    <w:name w:val="Нормальний текст Знак"/>
    <w:link w:val="a7"/>
    <w:locked/>
    <w:rsid w:val="00F069E0"/>
    <w:rPr>
      <w:rFonts w:ascii="Antiqua" w:hAnsi="Antiqua"/>
      <w:sz w:val="26"/>
      <w:lang w:val="uk-UA" w:eastAsia="ru-RU"/>
    </w:rPr>
  </w:style>
  <w:style w:type="character" w:customStyle="1" w:styleId="af">
    <w:name w:val="Назва документа Знак"/>
    <w:locked/>
    <w:rsid w:val="00F57E7D"/>
    <w:rPr>
      <w:rFonts w:ascii="Antiqua" w:hAnsi="Antiqua"/>
      <w:b/>
      <w:sz w:val="26"/>
      <w:lang w:val="uk-UA" w:eastAsia="ru-RU"/>
    </w:rPr>
  </w:style>
  <w:style w:type="paragraph" w:styleId="af0">
    <w:name w:val="footer"/>
    <w:basedOn w:val="a"/>
    <w:link w:val="af1"/>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lang w:val="ru-RU" w:eastAsia="ru-RU"/>
    </w:rPr>
  </w:style>
  <w:style w:type="character" w:customStyle="1" w:styleId="apple-converted-space">
    <w:name w:val="apple-converted-space"/>
    <w:rsid w:val="006C5974"/>
    <w:rPr>
      <w:rFonts w:cs="Times New Roman"/>
    </w:rPr>
  </w:style>
  <w:style w:type="character" w:styleId="af2">
    <w:name w:val="Hyperlink"/>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locked/>
    <w:rsid w:val="001B6358"/>
    <w:rPr>
      <w:sz w:val="28"/>
      <w:lang w:val="x-none" w:eastAsia="ru-RU"/>
    </w:rPr>
  </w:style>
  <w:style w:type="character" w:customStyle="1" w:styleId="af1">
    <w:name w:val="Нижній колонтитул Знак"/>
    <w:link w:val="af0"/>
    <w:locked/>
    <w:rsid w:val="004549D1"/>
    <w:rPr>
      <w:sz w:val="24"/>
      <w:lang w:val="ru-RU" w:eastAsia="ru-RU"/>
    </w:rPr>
  </w:style>
  <w:style w:type="paragraph" w:customStyle="1" w:styleId="13">
    <w:name w:val="Без інтервалів1"/>
    <w:rsid w:val="00496E48"/>
    <w:rPr>
      <w:rFonts w:ascii="Calibri" w:hAnsi="Calibri"/>
      <w:sz w:val="22"/>
      <w:szCs w:val="22"/>
      <w:lang w:eastAsia="en-US"/>
    </w:rPr>
  </w:style>
  <w:style w:type="character" w:customStyle="1" w:styleId="ad">
    <w:name w:val="Верхній колонтитул Знак"/>
    <w:link w:val="ac"/>
    <w:locked/>
    <w:rsid w:val="00496E48"/>
    <w:rPr>
      <w:sz w:val="28"/>
      <w:lang w:val="x-none" w:eastAsia="ru-RU"/>
    </w:rPr>
  </w:style>
  <w:style w:type="character" w:customStyle="1" w:styleId="a50">
    <w:name w:val="a5"/>
    <w:rsid w:val="00543068"/>
  </w:style>
  <w:style w:type="character" w:customStyle="1" w:styleId="a4">
    <w:name w:val="Основний текст з відступом Знак"/>
    <w:link w:val="a3"/>
    <w:locked/>
    <w:rsid w:val="0062423B"/>
    <w:rPr>
      <w:b/>
      <w:sz w:val="24"/>
      <w:lang w:val="x-none" w:eastAsia="ru-RU"/>
    </w:rPr>
  </w:style>
  <w:style w:type="paragraph" w:styleId="af3">
    <w:name w:val="Normal (Web)"/>
    <w:basedOn w:val="a"/>
    <w:rsid w:val="00C564D5"/>
    <w:pPr>
      <w:spacing w:before="100" w:beforeAutospacing="1" w:after="100" w:afterAutospacing="1"/>
    </w:pPr>
    <w:rPr>
      <w:lang w:val="en-US" w:eastAsia="en-US"/>
    </w:rPr>
  </w:style>
  <w:style w:type="character" w:customStyle="1" w:styleId="rvts9">
    <w:name w:val="rvts9"/>
    <w:rsid w:val="008B2A62"/>
    <w:rPr>
      <w:rFonts w:cs="Times New Roman"/>
    </w:rPr>
  </w:style>
  <w:style w:type="paragraph" w:customStyle="1" w:styleId="14">
    <w:name w:val="Абзац списку1"/>
    <w:basedOn w:val="a"/>
    <w:rsid w:val="0033432F"/>
    <w:pPr>
      <w:ind w:left="720"/>
      <w:contextualSpacing/>
    </w:pPr>
  </w:style>
  <w:style w:type="character" w:customStyle="1" w:styleId="rvts15">
    <w:name w:val="rvts15"/>
    <w:basedOn w:val="a0"/>
    <w:rsid w:val="00FC6149"/>
    <w:rPr>
      <w:rFonts w:cs="Times New Roman"/>
    </w:rPr>
  </w:style>
  <w:style w:type="character" w:customStyle="1" w:styleId="FontStyle12">
    <w:name w:val="Font Style12"/>
    <w:rsid w:val="007462BC"/>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F351-4B7D-4C19-A77C-B5B0F685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2289</Words>
  <Characters>1305</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Володимир Петрович Шпак</cp:lastModifiedBy>
  <cp:revision>16</cp:revision>
  <cp:lastPrinted>2020-04-03T06:52:00Z</cp:lastPrinted>
  <dcterms:created xsi:type="dcterms:W3CDTF">2020-04-15T08:22:00Z</dcterms:created>
  <dcterms:modified xsi:type="dcterms:W3CDTF">2020-04-27T09:52:00Z</dcterms:modified>
</cp:coreProperties>
</file>