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57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9A36C2" w:rsidRPr="00C53B6A" w:rsidTr="0050220D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9A36C2" w:rsidRPr="00C53B6A" w:rsidRDefault="009A36C2" w:rsidP="0050220D">
            <w:pPr>
              <w:tabs>
                <w:tab w:val="left" w:pos="708"/>
                <w:tab w:val="center" w:pos="4677"/>
                <w:tab w:val="right" w:pos="9355"/>
              </w:tabs>
              <w:spacing w:after="0" w:line="256" w:lineRule="auto"/>
              <w:rPr>
                <w:rFonts w:ascii="Times New Roman" w:eastAsia="Calibri" w:hAnsi="Times New Roman" w:cs="Times New Roman"/>
                <w:color w:val="002060"/>
                <w:sz w:val="32"/>
                <w:szCs w:val="32"/>
                <w:lang w:val="ru-RU"/>
              </w:rPr>
            </w:pPr>
          </w:p>
          <w:p w:rsidR="009A36C2" w:rsidRPr="00C53B6A" w:rsidRDefault="009A36C2" w:rsidP="0050220D">
            <w:pPr>
              <w:tabs>
                <w:tab w:val="left" w:pos="708"/>
                <w:tab w:val="center" w:pos="4677"/>
                <w:tab w:val="right" w:pos="9355"/>
              </w:tabs>
              <w:spacing w:after="0" w:line="256" w:lineRule="auto"/>
              <w:rPr>
                <w:rFonts w:ascii="Times New Roman" w:eastAsia="Calibri" w:hAnsi="Times New Roman" w:cs="Times New Roman"/>
                <w:color w:val="002060"/>
                <w:sz w:val="32"/>
                <w:szCs w:val="32"/>
                <w:lang w:val="ru-RU"/>
              </w:rPr>
            </w:pPr>
          </w:p>
          <w:p w:rsidR="009A36C2" w:rsidRPr="00C53B6A" w:rsidRDefault="009A36C2" w:rsidP="0050220D">
            <w:pPr>
              <w:tabs>
                <w:tab w:val="left" w:pos="708"/>
                <w:tab w:val="center" w:pos="4677"/>
                <w:tab w:val="right" w:pos="9355"/>
              </w:tabs>
              <w:spacing w:after="0" w:line="256" w:lineRule="auto"/>
              <w:rPr>
                <w:rFonts w:ascii="Times New Roman" w:eastAsia="Calibri" w:hAnsi="Times New Roman" w:cs="Times New Roman"/>
                <w:color w:val="002060"/>
                <w:sz w:val="32"/>
                <w:szCs w:val="32"/>
                <w:lang w:val="ru-RU"/>
              </w:rPr>
            </w:pPr>
          </w:p>
          <w:p w:rsidR="009A36C2" w:rsidRPr="00C53B6A" w:rsidRDefault="009A36C2" w:rsidP="0050220D">
            <w:pPr>
              <w:tabs>
                <w:tab w:val="left" w:pos="708"/>
                <w:tab w:val="center" w:pos="4677"/>
                <w:tab w:val="right" w:pos="9355"/>
              </w:tabs>
              <w:spacing w:before="80" w:after="0" w:line="256" w:lineRule="auto"/>
              <w:jc w:val="center"/>
              <w:rPr>
                <w:rFonts w:ascii="Times New Roman" w:eastAsia="Calibri" w:hAnsi="Times New Roman" w:cs="Times New Roman"/>
                <w:color w:val="1829A8"/>
                <w:spacing w:val="20"/>
                <w:sz w:val="34"/>
                <w:szCs w:val="34"/>
                <w:lang w:val="ru-RU"/>
              </w:rPr>
            </w:pPr>
            <w:r w:rsidRPr="00C53B6A">
              <w:rPr>
                <w:rFonts w:ascii="Calibri" w:eastAsia="Calibri" w:hAnsi="Calibri" w:cs="Times New Roman"/>
                <w:noProof/>
                <w:lang w:eastAsia="uk-UA"/>
              </w:rPr>
              <w:drawing>
                <wp:anchor distT="360045" distB="0" distL="114300" distR="114300" simplePos="0" relativeHeight="251659264" behindDoc="0" locked="0" layoutInCell="1" allowOverlap="1" wp14:anchorId="3CBEFF38" wp14:editId="0651E682">
                  <wp:simplePos x="0" y="0"/>
                  <wp:positionH relativeFrom="margin">
                    <wp:posOffset>3474085</wp:posOffset>
                  </wp:positionH>
                  <wp:positionV relativeFrom="paragraph">
                    <wp:posOffset>-801370</wp:posOffset>
                  </wp:positionV>
                  <wp:extent cx="461010" cy="63690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3B6A">
              <w:rPr>
                <w:rFonts w:ascii="Times New Roman" w:eastAsia="Calibri" w:hAnsi="Times New Roman" w:cs="Times New Roman"/>
                <w:color w:val="1829A8"/>
                <w:spacing w:val="20"/>
                <w:sz w:val="34"/>
                <w:szCs w:val="34"/>
              </w:rPr>
              <w:t>ВЕРХОВНА РАДА УКРАЇНИ</w:t>
            </w:r>
          </w:p>
          <w:p w:rsidR="009A36C2" w:rsidRPr="00C53B6A" w:rsidRDefault="009A36C2" w:rsidP="0050220D">
            <w:pPr>
              <w:tabs>
                <w:tab w:val="left" w:pos="708"/>
                <w:tab w:val="center" w:pos="4677"/>
                <w:tab w:val="right" w:pos="9355"/>
              </w:tabs>
              <w:spacing w:before="100"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1829A8"/>
                <w:spacing w:val="20"/>
                <w:sz w:val="24"/>
                <w:szCs w:val="24"/>
              </w:rPr>
            </w:pPr>
            <w:r w:rsidRPr="00C53B6A">
              <w:rPr>
                <w:rFonts w:ascii="Times New Roman" w:eastAsia="Calibri" w:hAnsi="Times New Roman" w:cs="Times New Roman"/>
                <w:b/>
                <w:color w:val="1829A8"/>
                <w:spacing w:val="20"/>
                <w:sz w:val="24"/>
                <w:szCs w:val="24"/>
              </w:rPr>
              <w:t>Комітет з питань антикорупційної політики</w:t>
            </w:r>
          </w:p>
          <w:p w:rsidR="009A36C2" w:rsidRPr="00C53B6A" w:rsidRDefault="009A36C2" w:rsidP="0050220D">
            <w:pPr>
              <w:tabs>
                <w:tab w:val="left" w:pos="708"/>
                <w:tab w:val="center" w:pos="4677"/>
                <w:tab w:val="right" w:pos="9355"/>
              </w:tabs>
              <w:spacing w:before="160" w:after="60" w:line="256" w:lineRule="auto"/>
              <w:jc w:val="center"/>
              <w:rPr>
                <w:rFonts w:ascii="Calibri" w:eastAsia="Calibri" w:hAnsi="Calibri" w:cs="Times New Roman"/>
                <w:color w:val="002060"/>
                <w:sz w:val="20"/>
                <w:szCs w:val="20"/>
                <w:lang w:val="ru-RU"/>
              </w:rPr>
            </w:pPr>
            <w:r w:rsidRPr="00C53B6A">
              <w:rPr>
                <w:rFonts w:ascii="Times New Roman" w:eastAsia="Calibri" w:hAnsi="Times New Roman" w:cs="Times New Roman"/>
                <w:color w:val="1829A8"/>
                <w:sz w:val="20"/>
                <w:szCs w:val="20"/>
              </w:rPr>
              <w:t xml:space="preserve">01008, м.Київ-8, вул. М. Грушевського, 5, </w:t>
            </w:r>
            <w:proofErr w:type="spellStart"/>
            <w:r w:rsidRPr="00C53B6A">
              <w:rPr>
                <w:rFonts w:ascii="Times New Roman" w:eastAsia="Calibri" w:hAnsi="Times New Roman" w:cs="Times New Roman"/>
                <w:color w:val="1829A8"/>
                <w:sz w:val="20"/>
                <w:szCs w:val="20"/>
              </w:rPr>
              <w:t>тел</w:t>
            </w:r>
            <w:proofErr w:type="spellEnd"/>
            <w:r w:rsidRPr="00C53B6A">
              <w:rPr>
                <w:rFonts w:ascii="Times New Roman" w:eastAsia="Calibri" w:hAnsi="Times New Roman" w:cs="Times New Roman"/>
                <w:color w:val="1829A8"/>
                <w:sz w:val="20"/>
                <w:szCs w:val="20"/>
              </w:rPr>
              <w:t xml:space="preserve">.: (044) 255-35-03,  </w:t>
            </w:r>
            <w:r w:rsidRPr="00C53B6A"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en-US"/>
              </w:rPr>
              <w:t>e</w:t>
            </w:r>
            <w:r w:rsidRPr="00C53B6A"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ru-RU"/>
              </w:rPr>
              <w:t>-</w:t>
            </w:r>
            <w:r w:rsidRPr="00C53B6A"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en-US"/>
              </w:rPr>
              <w:t>mail</w:t>
            </w:r>
            <w:r w:rsidRPr="00C53B6A"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C53B6A"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en-US"/>
              </w:rPr>
              <w:t>crimecor</w:t>
            </w:r>
            <w:proofErr w:type="spellEnd"/>
            <w:r w:rsidRPr="00C53B6A"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ru-RU"/>
              </w:rPr>
              <w:t>@</w:t>
            </w:r>
            <w:proofErr w:type="spellStart"/>
            <w:r w:rsidRPr="00C53B6A"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en-US"/>
              </w:rPr>
              <w:t>rada</w:t>
            </w:r>
            <w:proofErr w:type="spellEnd"/>
            <w:r w:rsidRPr="00C53B6A"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ru-RU"/>
              </w:rPr>
              <w:t>.</w:t>
            </w:r>
            <w:proofErr w:type="spellStart"/>
            <w:r w:rsidRPr="00C53B6A"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en-US"/>
              </w:rPr>
              <w:t>gov</w:t>
            </w:r>
            <w:proofErr w:type="spellEnd"/>
            <w:r w:rsidRPr="00C53B6A"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ru-RU"/>
              </w:rPr>
              <w:t>.</w:t>
            </w:r>
            <w:proofErr w:type="spellStart"/>
            <w:r w:rsidRPr="00C53B6A"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en-US"/>
              </w:rPr>
              <w:t>ua</w:t>
            </w:r>
            <w:proofErr w:type="spellEnd"/>
          </w:p>
        </w:tc>
      </w:tr>
    </w:tbl>
    <w:tbl>
      <w:tblPr>
        <w:tblStyle w:val="a3"/>
        <w:tblW w:w="11887" w:type="dxa"/>
        <w:tblInd w:w="-1680" w:type="dxa"/>
        <w:tblBorders>
          <w:top w:val="thinThickMediumGap" w:sz="12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9714"/>
        <w:gridCol w:w="1086"/>
      </w:tblGrid>
      <w:tr w:rsidR="009A36C2" w:rsidRPr="00C53B6A" w:rsidTr="0050220D"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9A36C2" w:rsidRPr="00C53B6A" w:rsidRDefault="009A36C2" w:rsidP="0050220D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9714" w:type="dxa"/>
            <w:tcBorders>
              <w:top w:val="thinThickMediumGap" w:sz="12" w:space="0" w:color="0033CC"/>
              <w:left w:val="nil"/>
              <w:bottom w:val="nil"/>
              <w:right w:val="nil"/>
            </w:tcBorders>
          </w:tcPr>
          <w:p w:rsidR="009A36C2" w:rsidRPr="00C53B6A" w:rsidRDefault="009A36C2" w:rsidP="0050220D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9A36C2" w:rsidRPr="00C53B6A" w:rsidRDefault="009A36C2" w:rsidP="0050220D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</w:tbl>
    <w:p w:rsidR="009A36C2" w:rsidRPr="00C53B6A" w:rsidRDefault="009A36C2" w:rsidP="009A36C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color w:val="002060"/>
          <w:sz w:val="2"/>
          <w:szCs w:val="2"/>
          <w:lang w:val="ru-RU"/>
        </w:rPr>
      </w:pPr>
    </w:p>
    <w:tbl>
      <w:tblPr>
        <w:tblW w:w="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950"/>
      </w:tblGrid>
      <w:tr w:rsidR="009A36C2" w:rsidRPr="00C53B6A" w:rsidTr="0050220D">
        <w:trPr>
          <w:trHeight w:val="2780"/>
        </w:trPr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6C2" w:rsidRPr="00C53B6A" w:rsidRDefault="009A36C2" w:rsidP="0050220D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6C2" w:rsidRPr="00C53B6A" w:rsidRDefault="009A36C2" w:rsidP="0050220D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A36C2" w:rsidRPr="00C53B6A" w:rsidRDefault="009A36C2" w:rsidP="0050220D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A36C2" w:rsidRPr="00C53B6A" w:rsidRDefault="009A36C2" w:rsidP="0050220D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A36C2" w:rsidRPr="00C53B6A" w:rsidRDefault="009A36C2" w:rsidP="0050220D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A36C2" w:rsidRPr="00C53B6A" w:rsidRDefault="009A36C2" w:rsidP="0050220D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A36C2" w:rsidRPr="00C53B6A" w:rsidRDefault="009A36C2" w:rsidP="0050220D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A36C2" w:rsidRPr="00C53B6A" w:rsidRDefault="009A36C2" w:rsidP="0050220D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A36C2" w:rsidRPr="00C53B6A" w:rsidRDefault="009A36C2" w:rsidP="0050220D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A36C2" w:rsidRPr="00C53B6A" w:rsidRDefault="009A36C2" w:rsidP="0050220D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A36C2" w:rsidRPr="00C53B6A" w:rsidRDefault="009A36C2" w:rsidP="0050220D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3B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Рішення</w:t>
            </w:r>
            <w:proofErr w:type="spellEnd"/>
            <w:r w:rsidRPr="00C53B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3B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Комітету</w:t>
            </w:r>
            <w:proofErr w:type="spellEnd"/>
          </w:p>
          <w:p w:rsidR="009A36C2" w:rsidRPr="00C53B6A" w:rsidRDefault="009A36C2" w:rsidP="0050220D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3B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C53B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3B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експертного</w:t>
            </w:r>
            <w:proofErr w:type="spellEnd"/>
            <w:r w:rsidRPr="00C53B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3B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висновку</w:t>
            </w:r>
            <w:proofErr w:type="spellEnd"/>
          </w:p>
          <w:p w:rsidR="009A36C2" w:rsidRPr="00C53B6A" w:rsidRDefault="009A36C2" w:rsidP="0050220D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законопроекту </w:t>
            </w:r>
            <w:r w:rsidRPr="00C53B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="00254A19">
              <w:rPr>
                <w:rFonts w:ascii="Times New Roman" w:eastAsia="Times New Roman" w:hAnsi="Times New Roman" w:cs="Times New Roman"/>
                <w:sz w:val="24"/>
                <w:szCs w:val="24"/>
              </w:rPr>
              <w:t>3055</w:t>
            </w:r>
          </w:p>
          <w:p w:rsidR="009A36C2" w:rsidRPr="00C53B6A" w:rsidRDefault="009A36C2" w:rsidP="0050220D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6C2" w:rsidRPr="00C53B6A" w:rsidRDefault="009A36C2" w:rsidP="005022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A36C2" w:rsidRPr="00C53B6A" w:rsidRDefault="009A36C2" w:rsidP="005022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A36C2" w:rsidRPr="00C53B6A" w:rsidRDefault="009A36C2" w:rsidP="005022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A36C2" w:rsidRPr="00C53B6A" w:rsidRDefault="009A36C2" w:rsidP="005022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A36C2" w:rsidRPr="00C53B6A" w:rsidRDefault="009A36C2" w:rsidP="0050220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3B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Комітет Верховної Ради України</w:t>
            </w:r>
          </w:p>
          <w:p w:rsidR="009A36C2" w:rsidRPr="00C53B6A" w:rsidRDefault="009A36C2" w:rsidP="00E918D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53B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 </w:t>
            </w:r>
            <w:r w:rsidRPr="00C53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питань </w:t>
            </w:r>
            <w:r w:rsidR="00E918D5" w:rsidRPr="00E918D5">
              <w:rPr>
                <w:rFonts w:ascii="Times New Roman" w:eastAsia="Times New Roman" w:hAnsi="Times New Roman" w:cs="Times New Roman"/>
                <w:sz w:val="28"/>
                <w:szCs w:val="28"/>
              </w:rPr>
              <w:t> правоохоронної діяльності</w:t>
            </w:r>
          </w:p>
        </w:tc>
      </w:tr>
    </w:tbl>
    <w:p w:rsidR="009A36C2" w:rsidRDefault="009A36C2" w:rsidP="009A36C2">
      <w:pPr>
        <w:widowControl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C53B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статті 93 Регламенту Верховної Ради України, відповідно до предмета відання і за дорученням Голови Верховної Ради України, Комітет для підготовки експертного висновку щодо відповідності вимогам антикорупційного законодавства розглянув проект </w:t>
      </w:r>
      <w:r w:rsidRPr="00C53B6A">
        <w:rPr>
          <w:rFonts w:ascii="Times New Roman" w:eastAsia="Times New Roman" w:hAnsi="Times New Roman" w:cs="Times New Roman"/>
          <w:bCs/>
          <w:spacing w:val="4"/>
          <w:sz w:val="28"/>
          <w:szCs w:val="24"/>
          <w:lang w:eastAsia="uk-UA"/>
        </w:rPr>
        <w:t xml:space="preserve">Закону </w:t>
      </w:r>
      <w:r w:rsidRPr="009A36C2">
        <w:rPr>
          <w:rFonts w:ascii="Times New Roman" w:eastAsia="Times New Roman" w:hAnsi="Times New Roman" w:cs="Times New Roman"/>
          <w:sz w:val="28"/>
          <w:szCs w:val="24"/>
          <w:lang w:eastAsia="uk-UA"/>
        </w:rPr>
        <w:t>про внесення змін до деяких законодавчих актів України щодо імплементації Конвенції Ради Європи про захист дітей від сексуальної експлуатації та сексуального насильства (</w:t>
      </w:r>
      <w:proofErr w:type="spellStart"/>
      <w:r w:rsidRPr="009A36C2">
        <w:rPr>
          <w:rFonts w:ascii="Times New Roman" w:eastAsia="Times New Roman" w:hAnsi="Times New Roman" w:cs="Times New Roman"/>
          <w:sz w:val="28"/>
          <w:szCs w:val="24"/>
          <w:lang w:eastAsia="uk-UA"/>
        </w:rPr>
        <w:t>Ланцаротської</w:t>
      </w:r>
      <w:proofErr w:type="spellEnd"/>
      <w:r w:rsidRPr="009A36C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Конвенції) (реєстр. № 3055</w:t>
      </w:r>
      <w:r w:rsidR="0057072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доопрацьований</w:t>
      </w:r>
      <w:r w:rsidRPr="009A36C2">
        <w:rPr>
          <w:rFonts w:ascii="Times New Roman" w:eastAsia="Times New Roman" w:hAnsi="Times New Roman" w:cs="Times New Roman"/>
          <w:sz w:val="28"/>
          <w:szCs w:val="24"/>
          <w:lang w:eastAsia="uk-UA"/>
        </w:rPr>
        <w:t>), поданий народними депутатами України Фр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оловим П.В., Монастирським Д.А.</w:t>
      </w:r>
    </w:p>
    <w:p w:rsidR="00254A19" w:rsidRPr="00254A19" w:rsidRDefault="00254A19" w:rsidP="00254A19">
      <w:pPr>
        <w:widowControl w:val="0"/>
        <w:spacing w:after="0" w:line="360" w:lineRule="auto"/>
        <w:ind w:firstLine="6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4A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Метою законопроекту є </w:t>
      </w:r>
      <w:r w:rsidRPr="00254A19">
        <w:rPr>
          <w:rFonts w:ascii="Times New Roman" w:eastAsia="Calibri" w:hAnsi="Times New Roman" w:cs="Times New Roman"/>
          <w:sz w:val="28"/>
          <w:szCs w:val="28"/>
          <w:lang w:eastAsia="ru-RU"/>
        </w:rPr>
        <w:t>імплементації положень (ст. ст. 5, 19-21, 23, 26, 27, 32, 33 і 35) Конвенції Ради Європи про захист дітей від сексуальної експлуатації та сексуального насильства (</w:t>
      </w:r>
      <w:proofErr w:type="spellStart"/>
      <w:r w:rsidRPr="00254A19">
        <w:rPr>
          <w:rFonts w:ascii="Times New Roman" w:eastAsia="Calibri" w:hAnsi="Times New Roman" w:cs="Times New Roman"/>
          <w:sz w:val="28"/>
          <w:szCs w:val="28"/>
          <w:lang w:eastAsia="ru-RU"/>
        </w:rPr>
        <w:t>Ланцаротської</w:t>
      </w:r>
      <w:proofErr w:type="spellEnd"/>
      <w:r w:rsidRPr="00254A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конвенції) від 25.10.2007, ратифікованої Законом України від 20.06.2012 № 4988-VI, з урахуванням рекомендацій </w:t>
      </w:r>
      <w:proofErr w:type="spellStart"/>
      <w:r w:rsidRPr="00254A19">
        <w:rPr>
          <w:rFonts w:ascii="Times New Roman" w:eastAsia="Calibri" w:hAnsi="Times New Roman" w:cs="Times New Roman"/>
          <w:sz w:val="28"/>
          <w:szCs w:val="28"/>
          <w:lang w:eastAsia="ru-RU"/>
        </w:rPr>
        <w:t>Ланцаротського</w:t>
      </w:r>
      <w:proofErr w:type="spellEnd"/>
      <w:r w:rsidRPr="00254A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комітету.</w:t>
      </w:r>
    </w:p>
    <w:p w:rsidR="009A36C2" w:rsidRDefault="009A36C2" w:rsidP="009A36C2">
      <w:pPr>
        <w:widowControl w:val="0"/>
        <w:spacing w:after="0" w:line="360" w:lineRule="auto"/>
        <w:ind w:firstLine="6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02F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 проекті </w:t>
      </w:r>
      <w:proofErr w:type="spellStart"/>
      <w:r w:rsidRPr="003F02F6">
        <w:rPr>
          <w:rFonts w:ascii="Times New Roman" w:eastAsia="Calibri" w:hAnsi="Times New Roman" w:cs="Times New Roman"/>
          <w:sz w:val="28"/>
          <w:szCs w:val="28"/>
          <w:lang w:eastAsia="ru-RU"/>
        </w:rPr>
        <w:t>акта</w:t>
      </w:r>
      <w:proofErr w:type="spellEnd"/>
      <w:r w:rsidRPr="003F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виявлено </w:t>
      </w:r>
      <w:proofErr w:type="spellStart"/>
      <w:r w:rsidRPr="003F02F6">
        <w:rPr>
          <w:rFonts w:ascii="Times New Roman" w:eastAsia="Calibri" w:hAnsi="Times New Roman" w:cs="Times New Roman"/>
          <w:sz w:val="28"/>
          <w:szCs w:val="28"/>
          <w:lang w:eastAsia="ru-RU"/>
        </w:rPr>
        <w:t>корупціогенних</w:t>
      </w:r>
      <w:proofErr w:type="spellEnd"/>
      <w:r w:rsidRPr="003F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факторів, що можуть сприяти вчиненню корупційних правопорушень.</w:t>
      </w:r>
    </w:p>
    <w:p w:rsidR="000315A8" w:rsidRPr="009C15C4" w:rsidRDefault="000315A8" w:rsidP="000315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15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Разом з тим, Комітет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звертає увагу, що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9C15C4">
        <w:rPr>
          <w:rFonts w:ascii="Times New Roman" w:eastAsia="Calibri" w:hAnsi="Times New Roman" w:cs="Times New Roman"/>
          <w:sz w:val="28"/>
          <w:szCs w:val="28"/>
        </w:rPr>
        <w:t xml:space="preserve"> законопроекті пропонується доповнити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римінальний кодекс України новою статтею </w:t>
      </w:r>
      <w:r w:rsidRPr="009C15C4">
        <w:rPr>
          <w:rFonts w:ascii="Times New Roman" w:eastAsia="Calibri" w:hAnsi="Times New Roman" w:cs="Times New Roman"/>
          <w:sz w:val="28"/>
          <w:szCs w:val="28"/>
        </w:rPr>
        <w:t xml:space="preserve"> 156-1 та встановити кримінальну відповідальність за домагання дитини для сексуальних цілей. При цьому диспозиції ч</w:t>
      </w:r>
      <w:r>
        <w:rPr>
          <w:rFonts w:ascii="Times New Roman" w:eastAsia="Calibri" w:hAnsi="Times New Roman" w:cs="Times New Roman"/>
          <w:sz w:val="28"/>
          <w:szCs w:val="28"/>
        </w:rPr>
        <w:t>астини</w:t>
      </w:r>
      <w:r w:rsidRPr="009C15C4">
        <w:rPr>
          <w:rFonts w:ascii="Times New Roman" w:eastAsia="Calibri" w:hAnsi="Times New Roman" w:cs="Times New Roman"/>
          <w:sz w:val="28"/>
          <w:szCs w:val="28"/>
        </w:rPr>
        <w:t xml:space="preserve"> 1 та 2 ст</w:t>
      </w:r>
      <w:r>
        <w:rPr>
          <w:rFonts w:ascii="Times New Roman" w:eastAsia="Calibri" w:hAnsi="Times New Roman" w:cs="Times New Roman"/>
          <w:sz w:val="28"/>
          <w:szCs w:val="28"/>
        </w:rPr>
        <w:t>атті</w:t>
      </w:r>
      <w:r w:rsidRPr="009C15C4">
        <w:rPr>
          <w:rFonts w:ascii="Times New Roman" w:eastAsia="Calibri" w:hAnsi="Times New Roman" w:cs="Times New Roman"/>
          <w:sz w:val="28"/>
          <w:szCs w:val="28"/>
        </w:rPr>
        <w:t xml:space="preserve"> 156-1 К</w:t>
      </w:r>
      <w:r>
        <w:rPr>
          <w:rFonts w:ascii="Times New Roman" w:eastAsia="Calibri" w:hAnsi="Times New Roman" w:cs="Times New Roman"/>
          <w:sz w:val="28"/>
          <w:szCs w:val="28"/>
        </w:rPr>
        <w:t>римінального кодексу України</w:t>
      </w:r>
      <w:r w:rsidRPr="009C15C4">
        <w:rPr>
          <w:rFonts w:ascii="Times New Roman" w:eastAsia="Calibri" w:hAnsi="Times New Roman" w:cs="Times New Roman"/>
          <w:sz w:val="28"/>
          <w:szCs w:val="28"/>
        </w:rPr>
        <w:t xml:space="preserve"> передбачають, що кримінально караними слід вважати пропозиції зустрічі від повнолітньої особи особі, яка не досягла шістнадцятирічного віку (неповнолітній особі), з метою вчинення щодо потерпілої особи будь-яких дій сексуального характеру або розпусних дій (з метою втягнення її у виготовлення дитячої порнографії) </w:t>
      </w:r>
      <w:r w:rsidRPr="009C15C4">
        <w:rPr>
          <w:rFonts w:ascii="Times New Roman" w:eastAsia="Calibri" w:hAnsi="Times New Roman" w:cs="Times New Roman"/>
          <w:i/>
          <w:sz w:val="28"/>
          <w:szCs w:val="28"/>
        </w:rPr>
        <w:t>за умови вчинення істотних дій,</w:t>
      </w:r>
      <w:r w:rsidRPr="009C15C4">
        <w:rPr>
          <w:rFonts w:ascii="Times New Roman" w:eastAsia="Calibri" w:hAnsi="Times New Roman" w:cs="Times New Roman"/>
          <w:sz w:val="28"/>
          <w:szCs w:val="28"/>
        </w:rPr>
        <w:t xml:space="preserve"> спрямованих на те, щоб така зустріч відбулася. Однак таке формулювання породжуватиме цілий ряд запитань задля належного застосування даної норми на практиці, зокрема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15C4">
        <w:rPr>
          <w:rFonts w:ascii="Times New Roman" w:eastAsia="Calibri" w:hAnsi="Times New Roman" w:cs="Times New Roman"/>
          <w:sz w:val="28"/>
          <w:szCs w:val="28"/>
        </w:rPr>
        <w:t>які саме дії будуть підпадати під поняття «істотні»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15C4">
        <w:rPr>
          <w:rFonts w:ascii="Times New Roman" w:eastAsia="Calibri" w:hAnsi="Times New Roman" w:cs="Times New Roman"/>
          <w:sz w:val="28"/>
          <w:szCs w:val="28"/>
        </w:rPr>
        <w:t xml:space="preserve"> та такі, що спрямовані на те, щоб вказана зустріч відбулася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C15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36C2" w:rsidRPr="00C53B6A" w:rsidRDefault="009A36C2" w:rsidP="009A36C2">
      <w:pPr>
        <w:widowControl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C53B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Керуючись положеннями пункту 3 частини першої статті 16 Закону України «Про комітети Верховної Ради України», </w:t>
      </w:r>
      <w:r w:rsidRPr="00C53B6A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статті 55 Закону України «Про запобігання корупції», </w:t>
      </w:r>
      <w:r w:rsidRPr="00C53B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частини першої статті 93 Регламенту Верховної Ради України, Комітет на своєму засіданні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7318AF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318AF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верес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Pr="00C53B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2020 року (протокол № </w:t>
      </w:r>
      <w:r w:rsidR="007318AF">
        <w:rPr>
          <w:rFonts w:ascii="Times New Roman" w:eastAsia="Times New Roman" w:hAnsi="Times New Roman" w:cs="Times New Roman"/>
          <w:sz w:val="28"/>
          <w:szCs w:val="28"/>
          <w:lang w:eastAsia="uk-UA"/>
        </w:rPr>
        <w:t>50</w:t>
      </w:r>
      <w:r w:rsidRPr="00C53B6A">
        <w:rPr>
          <w:rFonts w:ascii="Times New Roman" w:eastAsia="Times New Roman" w:hAnsi="Times New Roman" w:cs="Times New Roman"/>
          <w:sz w:val="28"/>
          <w:szCs w:val="28"/>
          <w:lang w:eastAsia="uk-UA"/>
        </w:rPr>
        <w:t>) дійшов до висновку та прийняв рішення, що проект Закону</w:t>
      </w:r>
      <w:r w:rsidRPr="00C53B6A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D2793A" w:rsidRPr="00D2793A">
        <w:rPr>
          <w:rFonts w:ascii="Times New Roman" w:eastAsia="Times New Roman" w:hAnsi="Times New Roman" w:cs="Times New Roman"/>
          <w:sz w:val="28"/>
          <w:szCs w:val="24"/>
          <w:lang w:eastAsia="uk-UA"/>
        </w:rPr>
        <w:t>про внесення змін до деяких законодавчих актів України щодо імплементації Конвенції Ради Європи про захист дітей від сексуальної експлуатації та сексуального насильства (</w:t>
      </w:r>
      <w:proofErr w:type="spellStart"/>
      <w:r w:rsidR="00D2793A" w:rsidRPr="00D2793A">
        <w:rPr>
          <w:rFonts w:ascii="Times New Roman" w:eastAsia="Times New Roman" w:hAnsi="Times New Roman" w:cs="Times New Roman"/>
          <w:sz w:val="28"/>
          <w:szCs w:val="24"/>
          <w:lang w:eastAsia="uk-UA"/>
        </w:rPr>
        <w:t>Ланцаротської</w:t>
      </w:r>
      <w:proofErr w:type="spellEnd"/>
      <w:r w:rsidR="00D2793A" w:rsidRPr="00D2793A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Конвенції) (реєстр. № 3055</w:t>
      </w:r>
      <w:r w:rsidR="0057072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доопрацьований</w:t>
      </w:r>
      <w:r w:rsidR="00D2793A" w:rsidRPr="00D2793A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), </w:t>
      </w:r>
      <w:r w:rsidRPr="00C53B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відповідає вимогам антикорупційного законодавства.</w:t>
      </w:r>
    </w:p>
    <w:p w:rsidR="009A36C2" w:rsidRPr="009C15C4" w:rsidRDefault="009A36C2" w:rsidP="002703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3B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9A36C2" w:rsidRPr="00C53B6A" w:rsidRDefault="009A36C2" w:rsidP="009A36C2">
      <w:pPr>
        <w:widowControl w:val="0"/>
        <w:spacing w:before="240"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53B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Голова Комітету                                          </w:t>
      </w:r>
      <w:r w:rsidRPr="00C53B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                </w:t>
      </w:r>
      <w:r w:rsidRPr="00C53B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 А.О. </w:t>
      </w:r>
      <w:proofErr w:type="spellStart"/>
      <w:r w:rsidRPr="00C53B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Радіна</w:t>
      </w:r>
      <w:proofErr w:type="spellEnd"/>
    </w:p>
    <w:p w:rsidR="009A36C2" w:rsidRPr="00C53B6A" w:rsidRDefault="009A36C2" w:rsidP="009A36C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A36C2" w:rsidRPr="00C53B6A" w:rsidRDefault="009A36C2" w:rsidP="009A36C2">
      <w:pPr>
        <w:spacing w:line="252" w:lineRule="auto"/>
        <w:rPr>
          <w:rFonts w:ascii="Calibri" w:eastAsia="Calibri" w:hAnsi="Calibri" w:cs="Calibri"/>
          <w:lang w:eastAsia="uk-UA"/>
        </w:rPr>
      </w:pPr>
    </w:p>
    <w:p w:rsidR="009A36C2" w:rsidRPr="00C53B6A" w:rsidRDefault="009A36C2" w:rsidP="009A36C2">
      <w:pPr>
        <w:spacing w:line="252" w:lineRule="auto"/>
        <w:rPr>
          <w:rFonts w:ascii="Calibri" w:eastAsia="Calibri" w:hAnsi="Calibri" w:cs="Times New Roman"/>
        </w:rPr>
      </w:pPr>
    </w:p>
    <w:p w:rsidR="009A36C2" w:rsidRDefault="009A36C2" w:rsidP="009A36C2"/>
    <w:p w:rsidR="00593A08" w:rsidRDefault="00593A08"/>
    <w:sectPr w:rsidR="00593A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F5"/>
    <w:rsid w:val="000315A8"/>
    <w:rsid w:val="000441F5"/>
    <w:rsid w:val="00254A19"/>
    <w:rsid w:val="002703D4"/>
    <w:rsid w:val="00455234"/>
    <w:rsid w:val="00570720"/>
    <w:rsid w:val="00593A08"/>
    <w:rsid w:val="005A593E"/>
    <w:rsid w:val="007318AF"/>
    <w:rsid w:val="007A002E"/>
    <w:rsid w:val="0098354F"/>
    <w:rsid w:val="009A36C2"/>
    <w:rsid w:val="009C15C4"/>
    <w:rsid w:val="00D2793A"/>
    <w:rsid w:val="00E9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8DAB"/>
  <w15:chartTrackingRefBased/>
  <w15:docId w15:val="{314042CF-2E88-4A44-9A24-9411B911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6C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1884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14</cp:revision>
  <dcterms:created xsi:type="dcterms:W3CDTF">2020-05-14T06:06:00Z</dcterms:created>
  <dcterms:modified xsi:type="dcterms:W3CDTF">2020-09-16T10:51:00Z</dcterms:modified>
</cp:coreProperties>
</file>