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57D8F" w14:textId="77777777" w:rsidR="003F0714" w:rsidRPr="00760476" w:rsidRDefault="0035164D" w:rsidP="00760476">
      <w:pPr>
        <w:pStyle w:val="10"/>
        <w:ind w:firstLine="426"/>
        <w:jc w:val="center"/>
        <w:rPr>
          <w:b/>
          <w:bCs/>
          <w:sz w:val="28"/>
          <w:szCs w:val="28"/>
        </w:rPr>
      </w:pPr>
      <w:bookmarkStart w:id="0" w:name="_GoBack"/>
      <w:bookmarkEnd w:id="0"/>
      <w:r w:rsidRPr="00760476">
        <w:rPr>
          <w:b/>
          <w:bCs/>
          <w:sz w:val="28"/>
          <w:szCs w:val="28"/>
        </w:rPr>
        <w:t>ПОЯСНЮВАЛЬНА ЗАПИСКА</w:t>
      </w:r>
    </w:p>
    <w:p w14:paraId="498EC52B" w14:textId="46152F52" w:rsidR="003F0714" w:rsidRPr="00760476" w:rsidRDefault="0035164D" w:rsidP="00760476">
      <w:pPr>
        <w:pStyle w:val="10"/>
        <w:ind w:firstLine="426"/>
        <w:jc w:val="center"/>
        <w:rPr>
          <w:b/>
          <w:bCs/>
          <w:sz w:val="28"/>
          <w:szCs w:val="28"/>
        </w:rPr>
      </w:pPr>
      <w:r w:rsidRPr="00760476">
        <w:rPr>
          <w:b/>
          <w:bCs/>
          <w:sz w:val="28"/>
          <w:szCs w:val="28"/>
        </w:rPr>
        <w:t>до проекту Постанови Верховної Ради України</w:t>
      </w:r>
    </w:p>
    <w:p w14:paraId="052EE3E2" w14:textId="77777777" w:rsidR="003F0714" w:rsidRPr="00760476" w:rsidRDefault="0035164D" w:rsidP="00760476">
      <w:pPr>
        <w:pStyle w:val="10"/>
        <w:ind w:firstLine="426"/>
        <w:jc w:val="center"/>
        <w:rPr>
          <w:b/>
          <w:bCs/>
          <w:sz w:val="28"/>
          <w:szCs w:val="28"/>
        </w:rPr>
      </w:pPr>
      <w:r w:rsidRPr="00760476">
        <w:rPr>
          <w:b/>
          <w:bCs/>
          <w:sz w:val="28"/>
          <w:szCs w:val="28"/>
        </w:rPr>
        <w:t>Про вшанування пам'яті жертв Геноциду вірменського народу</w:t>
      </w:r>
    </w:p>
    <w:p w14:paraId="72E8FFBC" w14:textId="77777777" w:rsidR="003F0714" w:rsidRPr="00760476" w:rsidRDefault="003F0714" w:rsidP="00760476">
      <w:pPr>
        <w:pStyle w:val="10"/>
        <w:ind w:firstLine="426"/>
        <w:jc w:val="center"/>
        <w:rPr>
          <w:b/>
          <w:bCs/>
          <w:sz w:val="28"/>
          <w:szCs w:val="28"/>
        </w:rPr>
      </w:pPr>
    </w:p>
    <w:p w14:paraId="6FA7B6B2" w14:textId="77777777" w:rsidR="003F0714" w:rsidRDefault="0035164D">
      <w:pPr>
        <w:pStyle w:val="10"/>
        <w:numPr>
          <w:ilvl w:val="0"/>
          <w:numId w:val="1"/>
        </w:numPr>
        <w:jc w:val="both"/>
        <w:rPr>
          <w:b/>
          <w:bCs/>
          <w:sz w:val="28"/>
          <w:szCs w:val="28"/>
        </w:rPr>
      </w:pPr>
      <w:r>
        <w:rPr>
          <w:b/>
          <w:bCs/>
          <w:sz w:val="28"/>
          <w:szCs w:val="28"/>
        </w:rPr>
        <w:t>Обґрунтування необхідності прийняття акту</w:t>
      </w:r>
    </w:p>
    <w:p w14:paraId="1018BDFB" w14:textId="77777777" w:rsidR="003F0714" w:rsidRDefault="003F0714">
      <w:pPr>
        <w:pStyle w:val="10"/>
        <w:ind w:firstLine="426"/>
        <w:jc w:val="both"/>
        <w:rPr>
          <w:sz w:val="28"/>
          <w:szCs w:val="28"/>
        </w:rPr>
      </w:pPr>
    </w:p>
    <w:p w14:paraId="203D0EA4" w14:textId="77777777" w:rsidR="003F0714" w:rsidRDefault="0035164D">
      <w:pPr>
        <w:pStyle w:val="10"/>
        <w:ind w:firstLine="426"/>
        <w:jc w:val="both"/>
        <w:rPr>
          <w:sz w:val="28"/>
          <w:szCs w:val="28"/>
        </w:rPr>
      </w:pPr>
      <w:r>
        <w:rPr>
          <w:sz w:val="28"/>
          <w:szCs w:val="28"/>
        </w:rPr>
        <w:t xml:space="preserve">Геноцид вірменського народу став першим широкомасштабним злочином у ХХ столітті скоєний за расовою, етнічною і релігійною ознакою.  </w:t>
      </w:r>
    </w:p>
    <w:p w14:paraId="616775DA" w14:textId="77777777" w:rsidR="003F0714" w:rsidRDefault="0035164D">
      <w:pPr>
        <w:pStyle w:val="10"/>
        <w:ind w:firstLine="426"/>
        <w:jc w:val="both"/>
        <w:rPr>
          <w:sz w:val="28"/>
          <w:szCs w:val="28"/>
        </w:rPr>
      </w:pPr>
      <w:r>
        <w:rPr>
          <w:sz w:val="28"/>
          <w:szCs w:val="28"/>
        </w:rPr>
        <w:t xml:space="preserve">Депортація і масове знищення вірменського населення на території Оттоманської імперії в 1915-1922 роках стали найбільшою трагедією в історії, не лише вірменського народу, а всього цивілізованого світу, жахливим прикладом нелюдяної, расової, етнічної і релігійної нетерпимості. </w:t>
      </w:r>
    </w:p>
    <w:p w14:paraId="592128F3" w14:textId="77777777" w:rsidR="003F0714" w:rsidRDefault="0035164D">
      <w:pPr>
        <w:pStyle w:val="10"/>
        <w:ind w:firstLine="426"/>
        <w:jc w:val="both"/>
        <w:rPr>
          <w:sz w:val="28"/>
          <w:szCs w:val="28"/>
        </w:rPr>
      </w:pPr>
      <w:r>
        <w:rPr>
          <w:sz w:val="28"/>
          <w:szCs w:val="28"/>
        </w:rPr>
        <w:t>Експертними висновками Підкомісії Організації Об’єднаних Націй з попередження дискримінації і захисту меншин (1985) підтверджено умисний характер дій, спрямованих на системне і організоване масове винищення вірмен, що проживали на території своєї історичної батьківщини та в інших частинах Оттоманської імперії, який відповідає визначенню терміну геноцид у відповідності до Конвенції ООН «Про запобігання злочину геноциду та покарання за нього» (1948).</w:t>
      </w:r>
    </w:p>
    <w:p w14:paraId="682CDCAC" w14:textId="77777777" w:rsidR="003F0714" w:rsidRDefault="0035164D">
      <w:pPr>
        <w:pStyle w:val="10"/>
        <w:ind w:firstLine="426"/>
        <w:jc w:val="both"/>
        <w:rPr>
          <w:sz w:val="28"/>
          <w:szCs w:val="28"/>
        </w:rPr>
      </w:pPr>
      <w:r>
        <w:rPr>
          <w:sz w:val="28"/>
          <w:szCs w:val="28"/>
        </w:rPr>
        <w:t xml:space="preserve">Офіційно визнано і засуджено Геноцид вірмен Європарламентом (1987), Радою Європи (2001), Всесвітньою радою церков, </w:t>
      </w:r>
    </w:p>
    <w:p w14:paraId="1C1AAFFE" w14:textId="77777777" w:rsidR="003F0714" w:rsidRDefault="0035164D">
      <w:pPr>
        <w:pStyle w:val="10"/>
        <w:ind w:firstLine="426"/>
        <w:jc w:val="both"/>
        <w:rPr>
          <w:sz w:val="28"/>
          <w:szCs w:val="28"/>
        </w:rPr>
      </w:pPr>
      <w:r>
        <w:rPr>
          <w:sz w:val="28"/>
          <w:szCs w:val="28"/>
        </w:rPr>
        <w:t>Республікою Австрія, Аргентинською Республікою, Королівством Бельгія, Болівією ,</w:t>
      </w:r>
      <w:r>
        <w:t xml:space="preserve"> </w:t>
      </w:r>
      <w:r>
        <w:rPr>
          <w:sz w:val="28"/>
          <w:szCs w:val="28"/>
        </w:rPr>
        <w:t>Федеративною Республікою Бразилія, Ватиканом, Боліварською Республікою Венесуела, Федеративною Республікою Німеччина, Грецькою Республікою, Італійською Республікою, Канадою, Республікою Кіпр, Ліванською  Республікою, Литовською Республікою, Великим Герцогством Люксембург, Королівством Нідерланди, Республікою Парагвай, Республікою Польща, Португальською Республікою, Російською Федерацією, Словацькою Республікою, Сполученими Штатами Америки, Східною Республікою Уругвай, Французькою Республікою, Чеською Республікою, Швейцарською Конфедерацією, Королівством Швеція та багатьма іншими країнами.</w:t>
      </w:r>
    </w:p>
    <w:p w14:paraId="46DE6044" w14:textId="77777777" w:rsidR="003F0714" w:rsidRDefault="0035164D">
      <w:pPr>
        <w:pStyle w:val="10"/>
        <w:ind w:firstLine="426"/>
        <w:jc w:val="both"/>
        <w:rPr>
          <w:sz w:val="28"/>
          <w:szCs w:val="28"/>
        </w:rPr>
      </w:pPr>
      <w:r>
        <w:rPr>
          <w:sz w:val="28"/>
          <w:szCs w:val="28"/>
        </w:rPr>
        <w:t xml:space="preserve">Увесь «цивілізований» світ, допустивши на початку минулого сторіччя винищення вірменського населення в Оттоманській імперії заклав вкрай небезпечні передумови для подальших злочинів проти людства та геноцидів,  Голодомору – геноциду українського народу та Голокосту - геноциду єврейського народу, що безумовно споріднює всі ці злочині, направлені на фізичне знищення етнічною групи.  </w:t>
      </w:r>
    </w:p>
    <w:p w14:paraId="5C1FE4FF" w14:textId="77777777" w:rsidR="003F0714" w:rsidRDefault="0035164D">
      <w:pPr>
        <w:pStyle w:val="10"/>
        <w:ind w:firstLine="426"/>
        <w:jc w:val="both"/>
        <w:rPr>
          <w:sz w:val="28"/>
          <w:szCs w:val="28"/>
        </w:rPr>
      </w:pPr>
      <w:r>
        <w:rPr>
          <w:sz w:val="28"/>
          <w:szCs w:val="28"/>
        </w:rPr>
        <w:t>Визнання Геноциду вірмен народу в Оттоманській імперії має важливе міжнародне значення, відновлення історичної справедливості є справедливою потребою світового співтовариства, а також чисельної вірменської діаспори  Україні, багатовікові культурно-історичні зв’язки з представниками якої сходять до епохи Київської Русі, а внесок в політичний, економічний і культурний розвиток нашої держави заслуговує схвальної оцінки.</w:t>
      </w:r>
    </w:p>
    <w:p w14:paraId="4EA0F1BD" w14:textId="77777777" w:rsidR="003F0714" w:rsidRDefault="003F0714">
      <w:pPr>
        <w:pStyle w:val="10"/>
        <w:ind w:firstLine="426"/>
        <w:jc w:val="both"/>
        <w:rPr>
          <w:sz w:val="28"/>
          <w:szCs w:val="28"/>
        </w:rPr>
      </w:pPr>
    </w:p>
    <w:p w14:paraId="0F66B71B" w14:textId="77777777" w:rsidR="003F0714" w:rsidRDefault="003F0714">
      <w:pPr>
        <w:pStyle w:val="10"/>
        <w:ind w:firstLine="426"/>
        <w:jc w:val="both"/>
        <w:rPr>
          <w:sz w:val="28"/>
          <w:szCs w:val="28"/>
        </w:rPr>
      </w:pPr>
    </w:p>
    <w:p w14:paraId="728B394F" w14:textId="77777777" w:rsidR="003F0714" w:rsidRDefault="0035164D">
      <w:pPr>
        <w:pStyle w:val="10"/>
        <w:ind w:firstLine="426"/>
        <w:jc w:val="both"/>
        <w:rPr>
          <w:sz w:val="28"/>
          <w:szCs w:val="28"/>
        </w:rPr>
      </w:pPr>
      <w:r>
        <w:rPr>
          <w:sz w:val="28"/>
          <w:szCs w:val="28"/>
        </w:rPr>
        <w:lastRenderedPageBreak/>
        <w:t xml:space="preserve">Вшанування пам'яті мільйонів невинно убієнних людей є загальнолюдським обов’язком, що повинно запобігти у подальшому повторенню злочинів проти людства, геноциду, геноцидіальних актів та інших злочинів направлених проти людства й цивілізації.     </w:t>
      </w:r>
    </w:p>
    <w:p w14:paraId="622275DF" w14:textId="77777777" w:rsidR="003F0714" w:rsidRDefault="0035164D">
      <w:pPr>
        <w:pStyle w:val="10"/>
        <w:ind w:firstLine="426"/>
        <w:jc w:val="both"/>
        <w:rPr>
          <w:sz w:val="28"/>
          <w:szCs w:val="28"/>
        </w:rPr>
      </w:pPr>
      <w:r>
        <w:rPr>
          <w:sz w:val="28"/>
          <w:szCs w:val="28"/>
        </w:rPr>
        <w:t>Приймаючи до уваги, що певна частина вірменської діаспори в ті трагічні роки знайшла порятунок саме на теренах України та вшановуючи пам’ять мільйонів жертв, тих жахливих і трагічних подій початку ХХ століття, пропонується вшанувати пам'яті жертв Геноциду вірменського народу та</w:t>
      </w:r>
      <w:r>
        <w:rPr>
          <w:b/>
          <w:bCs/>
          <w:sz w:val="28"/>
          <w:szCs w:val="28"/>
        </w:rPr>
        <w:t xml:space="preserve"> </w:t>
      </w:r>
      <w:r>
        <w:rPr>
          <w:sz w:val="28"/>
          <w:szCs w:val="28"/>
        </w:rPr>
        <w:t>визнати Україною геноцид вірменського народу 1915-1922 років на державному рівні.</w:t>
      </w:r>
    </w:p>
    <w:p w14:paraId="5F10D4AF" w14:textId="77777777" w:rsidR="003F0714" w:rsidRDefault="003F0714">
      <w:pPr>
        <w:pStyle w:val="10"/>
        <w:ind w:firstLine="720"/>
        <w:jc w:val="both"/>
        <w:rPr>
          <w:sz w:val="28"/>
          <w:szCs w:val="28"/>
        </w:rPr>
      </w:pPr>
      <w:bookmarkStart w:id="1" w:name="o77"/>
      <w:bookmarkEnd w:id="1"/>
    </w:p>
    <w:p w14:paraId="23BC3443" w14:textId="77777777" w:rsidR="003F0714" w:rsidRDefault="0035164D">
      <w:pPr>
        <w:pStyle w:val="10"/>
        <w:numPr>
          <w:ilvl w:val="0"/>
          <w:numId w:val="2"/>
        </w:numPr>
        <w:jc w:val="both"/>
        <w:rPr>
          <w:b/>
          <w:bCs/>
          <w:sz w:val="28"/>
          <w:szCs w:val="28"/>
        </w:rPr>
      </w:pPr>
      <w:r>
        <w:rPr>
          <w:b/>
          <w:bCs/>
          <w:sz w:val="28"/>
          <w:szCs w:val="28"/>
        </w:rPr>
        <w:t>Загальна характеристика та основні положення акту</w:t>
      </w:r>
    </w:p>
    <w:p w14:paraId="062DBD65" w14:textId="77777777" w:rsidR="003F0714" w:rsidRDefault="0035164D">
      <w:pPr>
        <w:pStyle w:val="10"/>
        <w:ind w:firstLine="567"/>
        <w:jc w:val="both"/>
        <w:rPr>
          <w:sz w:val="28"/>
          <w:szCs w:val="28"/>
        </w:rPr>
      </w:pPr>
      <w:r>
        <w:rPr>
          <w:sz w:val="28"/>
          <w:szCs w:val="28"/>
        </w:rPr>
        <w:t>Проектом Постанови пропонується:</w:t>
      </w:r>
    </w:p>
    <w:p w14:paraId="23C77102" w14:textId="77777777" w:rsidR="003F0714" w:rsidRDefault="003F0714">
      <w:pPr>
        <w:pStyle w:val="10"/>
        <w:ind w:firstLine="567"/>
        <w:jc w:val="both"/>
        <w:rPr>
          <w:sz w:val="28"/>
          <w:szCs w:val="28"/>
        </w:rPr>
      </w:pPr>
    </w:p>
    <w:p w14:paraId="35471EBD" w14:textId="77777777" w:rsidR="003F0714" w:rsidRDefault="0035164D">
      <w:pPr>
        <w:pStyle w:val="10"/>
        <w:ind w:left="567"/>
        <w:jc w:val="both"/>
        <w:rPr>
          <w:sz w:val="28"/>
          <w:szCs w:val="28"/>
        </w:rPr>
      </w:pPr>
      <w:r>
        <w:rPr>
          <w:sz w:val="28"/>
          <w:szCs w:val="28"/>
        </w:rPr>
        <w:t>1.Визнати масові знищення вірменського народу у 1915-1922 роках в Оттоманській імперії Геноцидом вірменського народу.</w:t>
      </w:r>
    </w:p>
    <w:p w14:paraId="0472F74E" w14:textId="77777777" w:rsidR="003F0714" w:rsidRDefault="0035164D">
      <w:pPr>
        <w:pStyle w:val="10"/>
        <w:spacing w:before="120"/>
        <w:ind w:left="567"/>
        <w:jc w:val="both"/>
        <w:rPr>
          <w:sz w:val="28"/>
          <w:szCs w:val="28"/>
        </w:rPr>
      </w:pPr>
      <w:r>
        <w:rPr>
          <w:sz w:val="28"/>
          <w:szCs w:val="28"/>
        </w:rPr>
        <w:t>2.</w:t>
      </w:r>
      <w:r>
        <w:t xml:space="preserve"> </w:t>
      </w:r>
      <w:r>
        <w:rPr>
          <w:sz w:val="28"/>
          <w:szCs w:val="28"/>
        </w:rPr>
        <w:t>Днем пам’яті жертв Геноциду вірменського народу в Оттоманській імперії встановити в Україні 24 квітня.</w:t>
      </w:r>
    </w:p>
    <w:p w14:paraId="4986191E" w14:textId="77777777" w:rsidR="003F0714" w:rsidRDefault="003F0714">
      <w:pPr>
        <w:pStyle w:val="10"/>
        <w:spacing w:before="120"/>
        <w:ind w:left="567"/>
        <w:jc w:val="both"/>
      </w:pPr>
    </w:p>
    <w:p w14:paraId="387E6D10" w14:textId="77777777" w:rsidR="003F0714" w:rsidRDefault="0035164D">
      <w:pPr>
        <w:pStyle w:val="10"/>
        <w:ind w:left="567"/>
        <w:jc w:val="both"/>
        <w:rPr>
          <w:sz w:val="28"/>
          <w:szCs w:val="28"/>
        </w:rPr>
      </w:pPr>
      <w:r>
        <w:rPr>
          <w:sz w:val="28"/>
          <w:szCs w:val="28"/>
        </w:rPr>
        <w:t>3.Постанова набирає чинності з моменту її прийняття.</w:t>
      </w:r>
    </w:p>
    <w:p w14:paraId="652ADE7E" w14:textId="77777777" w:rsidR="003F0714" w:rsidRDefault="003F0714">
      <w:pPr>
        <w:pStyle w:val="10"/>
        <w:ind w:firstLine="567"/>
        <w:jc w:val="both"/>
        <w:rPr>
          <w:sz w:val="28"/>
          <w:szCs w:val="28"/>
        </w:rPr>
      </w:pPr>
    </w:p>
    <w:p w14:paraId="38A68641" w14:textId="77777777" w:rsidR="003F0714" w:rsidRDefault="0035164D">
      <w:pPr>
        <w:pStyle w:val="10"/>
        <w:numPr>
          <w:ilvl w:val="0"/>
          <w:numId w:val="2"/>
        </w:numPr>
        <w:jc w:val="both"/>
        <w:rPr>
          <w:b/>
          <w:bCs/>
          <w:sz w:val="28"/>
          <w:szCs w:val="28"/>
        </w:rPr>
      </w:pPr>
      <w:r>
        <w:rPr>
          <w:b/>
          <w:bCs/>
          <w:sz w:val="28"/>
          <w:szCs w:val="28"/>
        </w:rPr>
        <w:t>Стан нормативно-правової бази у даній сфері правового регулювання</w:t>
      </w:r>
    </w:p>
    <w:p w14:paraId="67793677" w14:textId="77777777" w:rsidR="003F0714" w:rsidRDefault="003F0714">
      <w:pPr>
        <w:pStyle w:val="10"/>
        <w:ind w:left="720"/>
        <w:jc w:val="both"/>
        <w:rPr>
          <w:b/>
          <w:bCs/>
          <w:sz w:val="28"/>
          <w:szCs w:val="28"/>
        </w:rPr>
      </w:pPr>
    </w:p>
    <w:p w14:paraId="302B5EAE" w14:textId="77777777" w:rsidR="003F0714" w:rsidRDefault="0035164D">
      <w:pPr>
        <w:pStyle w:val="10"/>
        <w:ind w:firstLine="540"/>
        <w:jc w:val="both"/>
        <w:rPr>
          <w:sz w:val="28"/>
          <w:szCs w:val="28"/>
        </w:rPr>
      </w:pPr>
      <w:r>
        <w:rPr>
          <w:sz w:val="28"/>
          <w:szCs w:val="28"/>
        </w:rPr>
        <w:t>Нормативно-правову базу у даній сфері правового регулювання складає Конституція України. Прийняття акту не потребуватиме внесення змін до інших законодавчих актів України.</w:t>
      </w:r>
    </w:p>
    <w:p w14:paraId="0ADBFED3" w14:textId="77777777" w:rsidR="003F0714" w:rsidRDefault="003F0714">
      <w:pPr>
        <w:pStyle w:val="10"/>
        <w:ind w:firstLine="540"/>
        <w:jc w:val="both"/>
        <w:rPr>
          <w:sz w:val="28"/>
          <w:szCs w:val="28"/>
        </w:rPr>
      </w:pPr>
    </w:p>
    <w:p w14:paraId="34CB8E50" w14:textId="77777777" w:rsidR="003F0714" w:rsidRDefault="003F0714">
      <w:pPr>
        <w:pStyle w:val="10"/>
        <w:tabs>
          <w:tab w:val="left" w:pos="528"/>
        </w:tabs>
        <w:ind w:right="-104"/>
        <w:jc w:val="both"/>
        <w:rPr>
          <w:sz w:val="10"/>
          <w:szCs w:val="10"/>
          <w:shd w:val="pct15" w:color="auto" w:fill="FFFFFF"/>
        </w:rPr>
      </w:pPr>
    </w:p>
    <w:p w14:paraId="001F6C9B" w14:textId="77777777" w:rsidR="003F0714" w:rsidRDefault="0035164D">
      <w:pPr>
        <w:pStyle w:val="10"/>
        <w:numPr>
          <w:ilvl w:val="0"/>
          <w:numId w:val="3"/>
        </w:numPr>
        <w:jc w:val="both"/>
        <w:rPr>
          <w:b/>
          <w:bCs/>
          <w:sz w:val="28"/>
          <w:szCs w:val="28"/>
        </w:rPr>
      </w:pPr>
      <w:r>
        <w:rPr>
          <w:b/>
          <w:bCs/>
          <w:sz w:val="28"/>
          <w:szCs w:val="28"/>
        </w:rPr>
        <w:t>Фінансово-економічне обґрунтування</w:t>
      </w:r>
    </w:p>
    <w:p w14:paraId="50962C1B" w14:textId="77777777" w:rsidR="003F0714" w:rsidRDefault="0035164D">
      <w:pPr>
        <w:pStyle w:val="10"/>
        <w:ind w:firstLine="720"/>
        <w:jc w:val="both"/>
        <w:rPr>
          <w:sz w:val="28"/>
          <w:szCs w:val="28"/>
        </w:rPr>
      </w:pPr>
      <w:r>
        <w:rPr>
          <w:sz w:val="28"/>
          <w:szCs w:val="28"/>
        </w:rPr>
        <w:t>На момент внесення проект не потребує додаткових витрат з Державного бюджету України.</w:t>
      </w:r>
    </w:p>
    <w:p w14:paraId="2C26F1AF" w14:textId="77777777" w:rsidR="003F0714" w:rsidRDefault="003F0714">
      <w:pPr>
        <w:pStyle w:val="10"/>
        <w:ind w:firstLine="720"/>
        <w:jc w:val="both"/>
        <w:rPr>
          <w:b/>
          <w:bCs/>
          <w:sz w:val="28"/>
          <w:szCs w:val="28"/>
        </w:rPr>
      </w:pPr>
    </w:p>
    <w:p w14:paraId="6D12A1AF" w14:textId="77777777" w:rsidR="003F0714" w:rsidRDefault="003F0714">
      <w:pPr>
        <w:pStyle w:val="10"/>
        <w:ind w:firstLine="720"/>
        <w:jc w:val="both"/>
        <w:rPr>
          <w:b/>
          <w:bCs/>
          <w:sz w:val="10"/>
          <w:szCs w:val="10"/>
        </w:rPr>
      </w:pPr>
    </w:p>
    <w:p w14:paraId="7ED1B1FA" w14:textId="77777777" w:rsidR="003F0714" w:rsidRDefault="0035164D">
      <w:pPr>
        <w:pStyle w:val="10"/>
        <w:numPr>
          <w:ilvl w:val="0"/>
          <w:numId w:val="4"/>
        </w:numPr>
        <w:jc w:val="both"/>
        <w:rPr>
          <w:sz w:val="28"/>
          <w:szCs w:val="28"/>
        </w:rPr>
      </w:pPr>
      <w:r>
        <w:rPr>
          <w:b/>
          <w:bCs/>
          <w:sz w:val="28"/>
          <w:szCs w:val="28"/>
        </w:rPr>
        <w:t>Прогноз соціально-економічних та інших наслідків прийняття акту</w:t>
      </w:r>
    </w:p>
    <w:p w14:paraId="4DA5CA51" w14:textId="77777777" w:rsidR="003F0714" w:rsidRDefault="0035164D">
      <w:pPr>
        <w:pStyle w:val="15"/>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Прийняття пропонованого проекту Постанови стане визнанням Україною на державному рівні масового знищення вірмен в Оттоманській імперії в 1915-1922 роках Геноциду вірменського народу.</w:t>
      </w:r>
    </w:p>
    <w:p w14:paraId="6C4F6110" w14:textId="77777777" w:rsidR="003F0714" w:rsidRDefault="0035164D">
      <w:pPr>
        <w:pStyle w:val="10"/>
      </w:pPr>
      <w:r>
        <w:rPr>
          <w:b/>
          <w:bCs/>
          <w:sz w:val="28"/>
          <w:szCs w:val="28"/>
        </w:rPr>
        <w:t xml:space="preserve">Народний депутат України </w:t>
      </w:r>
      <w:r>
        <w:rPr>
          <w:b/>
          <w:bCs/>
          <w:sz w:val="28"/>
          <w:szCs w:val="28"/>
        </w:rPr>
        <w:tab/>
      </w:r>
      <w:r>
        <w:rPr>
          <w:b/>
          <w:bCs/>
          <w:sz w:val="28"/>
          <w:szCs w:val="28"/>
        </w:rPr>
        <w:tab/>
      </w:r>
      <w:r>
        <w:rPr>
          <w:b/>
          <w:bCs/>
          <w:sz w:val="28"/>
          <w:szCs w:val="28"/>
        </w:rPr>
        <w:tab/>
      </w:r>
      <w:r>
        <w:rPr>
          <w:b/>
          <w:bCs/>
          <w:sz w:val="28"/>
          <w:szCs w:val="28"/>
        </w:rPr>
        <w:tab/>
        <w:t xml:space="preserve">         </w:t>
      </w:r>
      <w:r>
        <w:rPr>
          <w:b/>
          <w:bCs/>
          <w:sz w:val="28"/>
          <w:szCs w:val="28"/>
        </w:rPr>
        <w:tab/>
        <w:t xml:space="preserve">                        Д. Володіна</w:t>
      </w:r>
    </w:p>
    <w:sectPr w:rsidR="003F0714">
      <w:headerReference w:type="default" r:id="rId9"/>
      <w:footerReference w:type="default" r:id="rId10"/>
      <w:endnotePr>
        <w:numFmt w:val="decimal"/>
        <w:numStart w:val="0"/>
      </w:endnotePr>
      <w:pgSz w:w="11906" w:h="16838"/>
      <w:pgMar w:top="1079" w:right="851" w:bottom="899" w:left="1418" w:header="567"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52835" w14:textId="77777777" w:rsidR="003F0714" w:rsidRDefault="0035164D">
      <w:pPr>
        <w:pStyle w:val="10"/>
      </w:pPr>
      <w:r>
        <w:separator/>
      </w:r>
    </w:p>
  </w:endnote>
  <w:endnote w:type="continuationSeparator" w:id="0">
    <w:p w14:paraId="212669DB" w14:textId="77777777" w:rsidR="003F0714" w:rsidRDefault="0035164D">
      <w:pPr>
        <w:pStyle w:val="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141F7" w14:textId="77777777" w:rsidR="003F0714" w:rsidRDefault="003F071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17ACB" w14:textId="77777777" w:rsidR="003F0714" w:rsidRDefault="0035164D">
      <w:pPr>
        <w:pStyle w:val="10"/>
      </w:pPr>
      <w:r>
        <w:separator/>
      </w:r>
    </w:p>
  </w:footnote>
  <w:footnote w:type="continuationSeparator" w:id="0">
    <w:p w14:paraId="629675D9" w14:textId="77777777" w:rsidR="003F0714" w:rsidRDefault="0035164D">
      <w:pPr>
        <w:pStyle w:val="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1C8AC" w14:textId="77777777" w:rsidR="003F0714" w:rsidRDefault="0035164D">
    <w:pPr>
      <w:pStyle w:val="a7"/>
      <w:jc w:val="center"/>
    </w:pPr>
    <w:r>
      <w:fldChar w:fldCharType="begin"/>
    </w:r>
    <w:r>
      <w:instrText>PAGE   \* MERGEFORMAT</w:instrText>
    </w:r>
    <w:r>
      <w:fldChar w:fldCharType="separate"/>
    </w:r>
    <w:r w:rsidR="00B02B9B">
      <w:t>2</w:t>
    </w:r>
    <w:r>
      <w:fldChar w:fldCharType="end"/>
    </w:r>
  </w:p>
  <w:p w14:paraId="205C5956" w14:textId="77777777" w:rsidR="003F0714" w:rsidRDefault="003F071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25B6149E">
      <w:start w:val="1"/>
      <w:numFmt w:val="decimal"/>
      <w:lvlText w:val="%1."/>
      <w:lvlJc w:val="left"/>
      <w:pPr>
        <w:tabs>
          <w:tab w:val="num" w:pos="720"/>
        </w:tabs>
        <w:ind w:hanging="360"/>
      </w:pPr>
      <w:rPr>
        <w:rFonts w:ascii="Times New Roman" w:eastAsia="Times New Roman" w:hAnsi="Times New Roman" w:cs="Times New Roman"/>
      </w:rPr>
    </w:lvl>
    <w:lvl w:ilvl="1" w:tplc="30BABC34">
      <w:start w:val="1"/>
      <w:numFmt w:val="lowerLetter"/>
      <w:lvlText w:val="%2."/>
      <w:lvlJc w:val="left"/>
      <w:pPr>
        <w:tabs>
          <w:tab w:val="num" w:pos="1440"/>
        </w:tabs>
        <w:ind w:left="1440" w:hanging="360"/>
      </w:pPr>
      <w:rPr>
        <w:rFonts w:cs="Times New Roman"/>
      </w:rPr>
    </w:lvl>
    <w:lvl w:ilvl="2" w:tplc="A230B488">
      <w:start w:val="1"/>
      <w:numFmt w:val="lowerRoman"/>
      <w:lvlText w:val="%3."/>
      <w:lvlJc w:val="right"/>
      <w:pPr>
        <w:tabs>
          <w:tab w:val="num" w:pos="2160"/>
        </w:tabs>
        <w:ind w:left="2160" w:hanging="180"/>
      </w:pPr>
      <w:rPr>
        <w:rFonts w:cs="Times New Roman"/>
      </w:rPr>
    </w:lvl>
    <w:lvl w:ilvl="3" w:tplc="423ECEBE">
      <w:start w:val="1"/>
      <w:numFmt w:val="decimal"/>
      <w:lvlText w:val="%4."/>
      <w:lvlJc w:val="left"/>
      <w:pPr>
        <w:tabs>
          <w:tab w:val="num" w:pos="2880"/>
        </w:tabs>
        <w:ind w:left="2880" w:hanging="360"/>
      </w:pPr>
      <w:rPr>
        <w:rFonts w:cs="Times New Roman"/>
      </w:rPr>
    </w:lvl>
    <w:lvl w:ilvl="4" w:tplc="DFF2F23E">
      <w:start w:val="1"/>
      <w:numFmt w:val="lowerLetter"/>
      <w:lvlText w:val="%5."/>
      <w:lvlJc w:val="left"/>
      <w:pPr>
        <w:tabs>
          <w:tab w:val="num" w:pos="3600"/>
        </w:tabs>
        <w:ind w:left="3600" w:hanging="360"/>
      </w:pPr>
      <w:rPr>
        <w:rFonts w:cs="Times New Roman"/>
      </w:rPr>
    </w:lvl>
    <w:lvl w:ilvl="5" w:tplc="E9982484">
      <w:start w:val="1"/>
      <w:numFmt w:val="lowerRoman"/>
      <w:lvlText w:val="%6."/>
      <w:lvlJc w:val="right"/>
      <w:pPr>
        <w:tabs>
          <w:tab w:val="num" w:pos="4320"/>
        </w:tabs>
        <w:ind w:left="4320" w:hanging="180"/>
      </w:pPr>
      <w:rPr>
        <w:rFonts w:cs="Times New Roman"/>
      </w:rPr>
    </w:lvl>
    <w:lvl w:ilvl="6" w:tplc="501245D2">
      <w:start w:val="1"/>
      <w:numFmt w:val="decimal"/>
      <w:lvlText w:val="%7."/>
      <w:lvlJc w:val="left"/>
      <w:pPr>
        <w:tabs>
          <w:tab w:val="num" w:pos="5040"/>
        </w:tabs>
        <w:ind w:left="5040" w:hanging="360"/>
      </w:pPr>
      <w:rPr>
        <w:rFonts w:cs="Times New Roman"/>
      </w:rPr>
    </w:lvl>
    <w:lvl w:ilvl="7" w:tplc="066A6F72">
      <w:start w:val="1"/>
      <w:numFmt w:val="lowerLetter"/>
      <w:lvlText w:val="%8."/>
      <w:lvlJc w:val="left"/>
      <w:pPr>
        <w:tabs>
          <w:tab w:val="num" w:pos="5760"/>
        </w:tabs>
        <w:ind w:left="5760" w:hanging="360"/>
      </w:pPr>
      <w:rPr>
        <w:rFonts w:cs="Times New Roman"/>
      </w:rPr>
    </w:lvl>
    <w:lvl w:ilvl="8" w:tplc="0B82EA82">
      <w:start w:val="1"/>
      <w:numFmt w:val="lowerRoman"/>
      <w:lvlText w:val="%9."/>
      <w:lvlJc w:val="right"/>
      <w:pPr>
        <w:tabs>
          <w:tab w:val="num" w:pos="6480"/>
        </w:tabs>
        <w:ind w:left="6480" w:hanging="180"/>
      </w:pPr>
      <w:rPr>
        <w:rFonts w:cs="Times New Roman"/>
      </w:rPr>
    </w:lvl>
  </w:abstractNum>
  <w:abstractNum w:abstractNumId="1">
    <w:nsid w:val="00000002"/>
    <w:multiLevelType w:val="hybridMultilevel"/>
    <w:tmpl w:val="00000000"/>
    <w:lvl w:ilvl="0" w:tplc="2CB43F38">
      <w:start w:val="5"/>
      <w:numFmt w:val="decimal"/>
      <w:lvlText w:val="%1."/>
      <w:lvlJc w:val="left"/>
      <w:pPr>
        <w:tabs>
          <w:tab w:val="num" w:pos="720"/>
        </w:tabs>
        <w:ind w:hanging="360"/>
      </w:pPr>
      <w:rPr>
        <w:rFonts w:ascii="Times New Roman" w:eastAsia="Times New Roman" w:hAnsi="Times New Roman" w:cs="Times New Roman"/>
      </w:rPr>
    </w:lvl>
    <w:lvl w:ilvl="1" w:tplc="D8724434">
      <w:start w:val="1"/>
      <w:numFmt w:val="lowerLetter"/>
      <w:lvlText w:val="%2."/>
      <w:lvlJc w:val="left"/>
      <w:pPr>
        <w:tabs>
          <w:tab w:val="num" w:pos="1440"/>
        </w:tabs>
        <w:ind w:left="1440" w:hanging="360"/>
      </w:pPr>
      <w:rPr>
        <w:rFonts w:cs="Times New Roman"/>
      </w:rPr>
    </w:lvl>
    <w:lvl w:ilvl="2" w:tplc="1102F892">
      <w:start w:val="1"/>
      <w:numFmt w:val="lowerRoman"/>
      <w:lvlText w:val="%3."/>
      <w:lvlJc w:val="right"/>
      <w:pPr>
        <w:tabs>
          <w:tab w:val="num" w:pos="2160"/>
        </w:tabs>
        <w:ind w:left="2160" w:hanging="180"/>
      </w:pPr>
      <w:rPr>
        <w:rFonts w:cs="Times New Roman"/>
      </w:rPr>
    </w:lvl>
    <w:lvl w:ilvl="3" w:tplc="B1D49916">
      <w:start w:val="1"/>
      <w:numFmt w:val="decimal"/>
      <w:lvlText w:val="%4."/>
      <w:lvlJc w:val="left"/>
      <w:pPr>
        <w:tabs>
          <w:tab w:val="num" w:pos="2880"/>
        </w:tabs>
        <w:ind w:left="2880" w:hanging="360"/>
      </w:pPr>
      <w:rPr>
        <w:rFonts w:cs="Times New Roman"/>
      </w:rPr>
    </w:lvl>
    <w:lvl w:ilvl="4" w:tplc="9138B2DA">
      <w:start w:val="1"/>
      <w:numFmt w:val="lowerLetter"/>
      <w:lvlText w:val="%5."/>
      <w:lvlJc w:val="left"/>
      <w:pPr>
        <w:tabs>
          <w:tab w:val="num" w:pos="3600"/>
        </w:tabs>
        <w:ind w:left="3600" w:hanging="360"/>
      </w:pPr>
      <w:rPr>
        <w:rFonts w:cs="Times New Roman"/>
      </w:rPr>
    </w:lvl>
    <w:lvl w:ilvl="5" w:tplc="C9A69FDA">
      <w:start w:val="1"/>
      <w:numFmt w:val="lowerRoman"/>
      <w:lvlText w:val="%6."/>
      <w:lvlJc w:val="right"/>
      <w:pPr>
        <w:tabs>
          <w:tab w:val="num" w:pos="4320"/>
        </w:tabs>
        <w:ind w:left="4320" w:hanging="180"/>
      </w:pPr>
      <w:rPr>
        <w:rFonts w:cs="Times New Roman"/>
      </w:rPr>
    </w:lvl>
    <w:lvl w:ilvl="6" w:tplc="1E4218AE">
      <w:start w:val="1"/>
      <w:numFmt w:val="decimal"/>
      <w:lvlText w:val="%7."/>
      <w:lvlJc w:val="left"/>
      <w:pPr>
        <w:tabs>
          <w:tab w:val="num" w:pos="5040"/>
        </w:tabs>
        <w:ind w:left="5040" w:hanging="360"/>
      </w:pPr>
      <w:rPr>
        <w:rFonts w:cs="Times New Roman"/>
      </w:rPr>
    </w:lvl>
    <w:lvl w:ilvl="7" w:tplc="21A64B1C">
      <w:start w:val="1"/>
      <w:numFmt w:val="lowerLetter"/>
      <w:lvlText w:val="%8."/>
      <w:lvlJc w:val="left"/>
      <w:pPr>
        <w:tabs>
          <w:tab w:val="num" w:pos="5760"/>
        </w:tabs>
        <w:ind w:left="5760" w:hanging="360"/>
      </w:pPr>
      <w:rPr>
        <w:rFonts w:cs="Times New Roman"/>
      </w:rPr>
    </w:lvl>
    <w:lvl w:ilvl="8" w:tplc="FAE6D6BA">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lvl w:ilvl="0" w:tplc="25B6149E">
        <w:start w:val="1"/>
        <w:numFmt w:val="decimal"/>
        <w:lvlText w:val="%1."/>
        <w:lvlJc w:val="left"/>
        <w:pPr>
          <w:tabs>
            <w:tab w:val="num" w:pos="720"/>
          </w:tabs>
          <w:ind w:left="720" w:hanging="360"/>
        </w:pPr>
        <w:rPr>
          <w:rFonts w:ascii="Times New Roman" w:eastAsia="Times New Roman" w:hAnsi="Times New Roman" w:cs="Times New Roman"/>
        </w:rPr>
      </w:lvl>
    </w:lvlOverride>
    <w:lvlOverride w:ilvl="1">
      <w:lvl w:ilvl="1" w:tplc="30BABC34">
        <w:start w:val="1"/>
        <w:numFmt w:val="lowerLetter"/>
        <w:lvlText w:val="%2."/>
        <w:lvlJc w:val="left"/>
        <w:pPr>
          <w:tabs>
            <w:tab w:val="num" w:pos="1440"/>
          </w:tabs>
          <w:ind w:left="1440" w:hanging="360"/>
        </w:pPr>
        <w:rPr>
          <w:rFonts w:cs="Times New Roman"/>
        </w:rPr>
      </w:lvl>
    </w:lvlOverride>
    <w:lvlOverride w:ilvl="2">
      <w:lvl w:ilvl="2" w:tplc="A230B488">
        <w:start w:val="1"/>
        <w:numFmt w:val="lowerRoman"/>
        <w:lvlText w:val="%3."/>
        <w:lvlJc w:val="right"/>
        <w:pPr>
          <w:tabs>
            <w:tab w:val="num" w:pos="2160"/>
          </w:tabs>
          <w:ind w:left="2160" w:hanging="180"/>
        </w:pPr>
        <w:rPr>
          <w:rFonts w:cs="Times New Roman"/>
        </w:rPr>
      </w:lvl>
    </w:lvlOverride>
    <w:lvlOverride w:ilvl="3">
      <w:lvl w:ilvl="3" w:tplc="423ECEBE">
        <w:start w:val="1"/>
        <w:numFmt w:val="decimal"/>
        <w:lvlText w:val="%4."/>
        <w:lvlJc w:val="left"/>
        <w:pPr>
          <w:tabs>
            <w:tab w:val="num" w:pos="2880"/>
          </w:tabs>
          <w:ind w:left="2880" w:hanging="360"/>
        </w:pPr>
        <w:rPr>
          <w:rFonts w:cs="Times New Roman"/>
        </w:rPr>
      </w:lvl>
    </w:lvlOverride>
    <w:lvlOverride w:ilvl="4">
      <w:lvl w:ilvl="4" w:tplc="DFF2F23E">
        <w:start w:val="1"/>
        <w:numFmt w:val="lowerLetter"/>
        <w:lvlText w:val="%5."/>
        <w:lvlJc w:val="left"/>
        <w:pPr>
          <w:tabs>
            <w:tab w:val="num" w:pos="3600"/>
          </w:tabs>
          <w:ind w:left="3600" w:hanging="360"/>
        </w:pPr>
        <w:rPr>
          <w:rFonts w:cs="Times New Roman"/>
        </w:rPr>
      </w:lvl>
    </w:lvlOverride>
    <w:lvlOverride w:ilvl="5">
      <w:lvl w:ilvl="5" w:tplc="E9982484">
        <w:start w:val="1"/>
        <w:numFmt w:val="lowerRoman"/>
        <w:lvlText w:val="%6."/>
        <w:lvlJc w:val="right"/>
        <w:pPr>
          <w:tabs>
            <w:tab w:val="num" w:pos="4320"/>
          </w:tabs>
          <w:ind w:left="4320" w:hanging="180"/>
        </w:pPr>
        <w:rPr>
          <w:rFonts w:cs="Times New Roman"/>
        </w:rPr>
      </w:lvl>
    </w:lvlOverride>
    <w:lvlOverride w:ilvl="6">
      <w:lvl w:ilvl="6" w:tplc="501245D2">
        <w:start w:val="1"/>
        <w:numFmt w:val="decimal"/>
        <w:lvlText w:val="%7."/>
        <w:lvlJc w:val="left"/>
        <w:pPr>
          <w:tabs>
            <w:tab w:val="num" w:pos="5040"/>
          </w:tabs>
          <w:ind w:left="5040" w:hanging="360"/>
        </w:pPr>
        <w:rPr>
          <w:rFonts w:cs="Times New Roman"/>
        </w:rPr>
      </w:lvl>
    </w:lvlOverride>
    <w:lvlOverride w:ilvl="7">
      <w:lvl w:ilvl="7" w:tplc="066A6F72">
        <w:start w:val="1"/>
        <w:numFmt w:val="lowerLetter"/>
        <w:lvlText w:val="%8."/>
        <w:lvlJc w:val="left"/>
        <w:pPr>
          <w:tabs>
            <w:tab w:val="num" w:pos="5760"/>
          </w:tabs>
          <w:ind w:left="5760" w:hanging="360"/>
        </w:pPr>
        <w:rPr>
          <w:rFonts w:cs="Times New Roman"/>
        </w:rPr>
      </w:lvl>
    </w:lvlOverride>
    <w:lvlOverride w:ilvl="8">
      <w:lvl w:ilvl="8" w:tplc="0B82EA82">
        <w:start w:val="1"/>
        <w:numFmt w:val="lowerRoman"/>
        <w:lvlText w:val="%9."/>
        <w:lvlJc w:val="right"/>
        <w:pPr>
          <w:tabs>
            <w:tab w:val="num" w:pos="6480"/>
          </w:tabs>
          <w:ind w:left="6480" w:hanging="180"/>
        </w:pPr>
        <w:rPr>
          <w:rFonts w:cs="Times New Roman"/>
        </w:rPr>
      </w:lvl>
    </w:lvlOverride>
  </w:num>
  <w:num w:numId="3">
    <w:abstractNumId w:val="1"/>
  </w:num>
  <w:num w:numId="4">
    <w:abstractNumId w:val="1"/>
    <w:lvlOverride w:ilvl="0">
      <w:lvl w:ilvl="0" w:tplc="2CB43F38">
        <w:start w:val="5"/>
        <w:numFmt w:val="decimal"/>
        <w:lvlText w:val="%1."/>
        <w:lvlJc w:val="left"/>
        <w:pPr>
          <w:tabs>
            <w:tab w:val="num" w:pos="720"/>
          </w:tabs>
          <w:ind w:left="720" w:hanging="360"/>
        </w:pPr>
        <w:rPr>
          <w:rFonts w:ascii="Times New Roman" w:eastAsia="Times New Roman" w:hAnsi="Times New Roman" w:cs="Times New Roman"/>
          <w:b/>
          <w:bCs/>
        </w:rPr>
      </w:lvl>
    </w:lvlOverride>
    <w:lvlOverride w:ilvl="1">
      <w:lvl w:ilvl="1" w:tplc="D8724434">
        <w:start w:val="1"/>
        <w:numFmt w:val="lowerLetter"/>
        <w:lvlText w:val="%2."/>
        <w:lvlJc w:val="left"/>
        <w:pPr>
          <w:tabs>
            <w:tab w:val="num" w:pos="1440"/>
          </w:tabs>
          <w:ind w:left="1440" w:hanging="360"/>
        </w:pPr>
        <w:rPr>
          <w:rFonts w:cs="Times New Roman"/>
        </w:rPr>
      </w:lvl>
    </w:lvlOverride>
    <w:lvlOverride w:ilvl="2">
      <w:lvl w:ilvl="2" w:tplc="1102F892">
        <w:start w:val="1"/>
        <w:numFmt w:val="lowerRoman"/>
        <w:lvlText w:val="%3."/>
        <w:lvlJc w:val="right"/>
        <w:pPr>
          <w:tabs>
            <w:tab w:val="num" w:pos="2160"/>
          </w:tabs>
          <w:ind w:left="2160" w:hanging="180"/>
        </w:pPr>
        <w:rPr>
          <w:rFonts w:cs="Times New Roman"/>
        </w:rPr>
      </w:lvl>
    </w:lvlOverride>
    <w:lvlOverride w:ilvl="3">
      <w:lvl w:ilvl="3" w:tplc="B1D49916">
        <w:start w:val="1"/>
        <w:numFmt w:val="decimal"/>
        <w:lvlText w:val="%4."/>
        <w:lvlJc w:val="left"/>
        <w:pPr>
          <w:tabs>
            <w:tab w:val="num" w:pos="2880"/>
          </w:tabs>
          <w:ind w:left="2880" w:hanging="360"/>
        </w:pPr>
        <w:rPr>
          <w:rFonts w:cs="Times New Roman"/>
        </w:rPr>
      </w:lvl>
    </w:lvlOverride>
    <w:lvlOverride w:ilvl="4">
      <w:lvl w:ilvl="4" w:tplc="9138B2DA">
        <w:start w:val="1"/>
        <w:numFmt w:val="lowerLetter"/>
        <w:lvlText w:val="%5."/>
        <w:lvlJc w:val="left"/>
        <w:pPr>
          <w:tabs>
            <w:tab w:val="num" w:pos="3600"/>
          </w:tabs>
          <w:ind w:left="3600" w:hanging="360"/>
        </w:pPr>
        <w:rPr>
          <w:rFonts w:cs="Times New Roman"/>
        </w:rPr>
      </w:lvl>
    </w:lvlOverride>
    <w:lvlOverride w:ilvl="5">
      <w:lvl w:ilvl="5" w:tplc="C9A69FDA">
        <w:start w:val="1"/>
        <w:numFmt w:val="lowerRoman"/>
        <w:lvlText w:val="%6."/>
        <w:lvlJc w:val="right"/>
        <w:pPr>
          <w:tabs>
            <w:tab w:val="num" w:pos="4320"/>
          </w:tabs>
          <w:ind w:left="4320" w:hanging="180"/>
        </w:pPr>
        <w:rPr>
          <w:rFonts w:cs="Times New Roman"/>
        </w:rPr>
      </w:lvl>
    </w:lvlOverride>
    <w:lvlOverride w:ilvl="6">
      <w:lvl w:ilvl="6" w:tplc="1E4218AE">
        <w:start w:val="1"/>
        <w:numFmt w:val="decimal"/>
        <w:lvlText w:val="%7."/>
        <w:lvlJc w:val="left"/>
        <w:pPr>
          <w:tabs>
            <w:tab w:val="num" w:pos="5040"/>
          </w:tabs>
          <w:ind w:left="5040" w:hanging="360"/>
        </w:pPr>
        <w:rPr>
          <w:rFonts w:cs="Times New Roman"/>
        </w:rPr>
      </w:lvl>
    </w:lvlOverride>
    <w:lvlOverride w:ilvl="7">
      <w:lvl w:ilvl="7" w:tplc="21A64B1C">
        <w:start w:val="1"/>
        <w:numFmt w:val="lowerLetter"/>
        <w:lvlText w:val="%8."/>
        <w:lvlJc w:val="left"/>
        <w:pPr>
          <w:tabs>
            <w:tab w:val="num" w:pos="5760"/>
          </w:tabs>
          <w:ind w:left="5760" w:hanging="360"/>
        </w:pPr>
        <w:rPr>
          <w:rFonts w:cs="Times New Roman"/>
        </w:rPr>
      </w:lvl>
    </w:lvlOverride>
    <w:lvlOverride w:ilvl="8">
      <w:lvl w:ilvl="8" w:tplc="FAE6D6BA">
        <w:start w:val="1"/>
        <w:numFmt w:val="lowerRoman"/>
        <w:lvlText w:val="%9."/>
        <w:lvlJc w:val="right"/>
        <w:pPr>
          <w:tabs>
            <w:tab w:val="num" w:pos="6480"/>
          </w:tabs>
          <w:ind w:left="6480"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proofState w:spelling="clean" w:grammar="clean"/>
  <w:defaultTabStop w:val="708"/>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pos w:val="sectEnd"/>
    <w:numFmt w:val="decimal"/>
    <w:numStart w:val="0"/>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4D"/>
    <w:rsid w:val="0035164D"/>
    <w:rsid w:val="003F0714"/>
    <w:rsid w:val="006D528B"/>
    <w:rsid w:val="00760476"/>
    <w:rsid w:val="00B02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0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sz w:val="24"/>
      <w:szCs w:val="24"/>
    </w:rPr>
  </w:style>
  <w:style w:type="paragraph" w:styleId="1">
    <w:name w:val="heading 1"/>
    <w:basedOn w:val="a"/>
    <w:qFormat/>
    <w:pPr>
      <w:spacing w:before="240" w:after="60"/>
      <w:outlineLvl w:val="0"/>
    </w:pPr>
    <w:rPr>
      <w:rFonts w:ascii="Arial" w:hAnsi="Arial" w:cs="Arial"/>
      <w:b/>
      <w:bCs/>
      <w:kern w:val="32"/>
      <w:sz w:val="32"/>
      <w:szCs w:val="32"/>
    </w:rPr>
  </w:style>
  <w:style w:type="paragraph" w:styleId="2">
    <w:name w:val="heading 2"/>
    <w:basedOn w:val="a"/>
    <w:qFormat/>
    <w:pPr>
      <w:spacing w:before="240" w:after="60"/>
      <w:outlineLvl w:val="1"/>
    </w:pPr>
    <w:rPr>
      <w:rFonts w:ascii="Arial" w:hAnsi="Arial" w:cs="Arial"/>
      <w:b/>
      <w:bCs/>
      <w:i/>
      <w:iCs/>
      <w:sz w:val="28"/>
      <w:szCs w:val="28"/>
    </w:rPr>
  </w:style>
  <w:style w:type="paragraph" w:styleId="3">
    <w:name w:val="heading 3"/>
    <w:basedOn w:val="a"/>
    <w:qFormat/>
    <w:pPr>
      <w:spacing w:before="100" w:after="100"/>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шрифт абзаца1"/>
    <w:semiHidden/>
    <w:rPr>
      <w:noProof/>
    </w:rPr>
  </w:style>
  <w:style w:type="character" w:customStyle="1" w:styleId="11">
    <w:name w:val="Нет списка1"/>
    <w:semiHidden/>
    <w:rPr>
      <w:rFonts w:ascii="Times New Roman" w:eastAsia="Times New Roman" w:hAnsi="Times New Roman" w:cs="Times New Roman"/>
    </w:rPr>
  </w:style>
  <w:style w:type="paragraph" w:customStyle="1" w:styleId="12">
    <w:name w:val="Номер страницы1"/>
    <w:semiHidden/>
    <w:rPr>
      <w:noProof/>
    </w:rPr>
  </w:style>
  <w:style w:type="paragraph" w:styleId="a3">
    <w:name w:val="footer"/>
    <w:basedOn w:val="a"/>
    <w:semiHidden/>
    <w:pPr>
      <w:tabs>
        <w:tab w:val="center" w:pos="4677"/>
        <w:tab w:val="right" w:pos="9355"/>
      </w:tabs>
    </w:pPr>
  </w:style>
  <w:style w:type="paragraph" w:customStyle="1" w:styleId="apple-converted-space">
    <w:name w:val="apple-converted-space"/>
    <w:rPr>
      <w:noProof/>
    </w:rPr>
  </w:style>
  <w:style w:type="paragraph" w:styleId="a4">
    <w:name w:val="Normal (Web)"/>
    <w:basedOn w:val="a"/>
    <w:semiHidden/>
    <w:pPr>
      <w:spacing w:before="100" w:after="100"/>
    </w:pPr>
  </w:style>
  <w:style w:type="paragraph" w:customStyle="1" w:styleId="13">
    <w:name w:val="Строгий1"/>
    <w:qFormat/>
    <w:rPr>
      <w:b/>
      <w:bCs/>
      <w:noProof/>
    </w:rPr>
  </w:style>
  <w:style w:type="paragraph" w:customStyle="1" w:styleId="ga1on">
    <w:name w:val="_ga1_on_"/>
    <w:basedOn w:val="10"/>
  </w:style>
  <w:style w:type="paragraph" w:customStyle="1" w:styleId="14">
    <w:name w:val="Гиперссылка1"/>
    <w:semiHidden/>
    <w:rPr>
      <w:noProof/>
      <w:color w:val="0000FF"/>
      <w:u w:val="single"/>
    </w:rPr>
  </w:style>
  <w:style w:type="paragraph" w:styleId="a5">
    <w:name w:val="Balloon Text"/>
    <w:basedOn w:val="a"/>
    <w:semiHidden/>
    <w:rPr>
      <w:rFonts w:ascii="Tahoma" w:hAnsi="Tahoma" w:cs="Tahoma"/>
      <w:sz w:val="16"/>
      <w:szCs w:val="16"/>
    </w:rPr>
  </w:style>
  <w:style w:type="paragraph" w:customStyle="1" w:styleId="acp">
    <w:name w:val="acp"/>
    <w:basedOn w:val="a"/>
    <w:pPr>
      <w:spacing w:before="100" w:after="100"/>
    </w:pPr>
  </w:style>
  <w:style w:type="paragraph" w:customStyle="1" w:styleId="15">
    <w:name w:val="Абзац списка1"/>
    <w:basedOn w:val="a"/>
    <w:pPr>
      <w:spacing w:after="200" w:line="275" w:lineRule="auto"/>
    </w:pPr>
    <w:rPr>
      <w:rFonts w:ascii="Calibri" w:hAnsi="Calibri" w:cs="Calibri"/>
      <w:sz w:val="22"/>
      <w:szCs w:val="22"/>
    </w:rPr>
  </w:style>
  <w:style w:type="paragraph" w:styleId="20">
    <w:name w:val="Body Text Indent 2"/>
    <w:basedOn w:val="a"/>
    <w:semiHidden/>
    <w:pPr>
      <w:spacing w:after="120" w:line="480" w:lineRule="auto"/>
    </w:pPr>
  </w:style>
  <w:style w:type="paragraph" w:customStyle="1" w:styleId="21">
    <w:name w:val="Основной текст с отступом 2 Знак"/>
    <w:rPr>
      <w:noProof/>
      <w:sz w:val="24"/>
      <w:szCs w:val="24"/>
    </w:rPr>
  </w:style>
  <w:style w:type="paragraph" w:customStyle="1" w:styleId="rvts0">
    <w:name w:val="rvts0"/>
    <w:rPr>
      <w:noProof/>
    </w:rPr>
  </w:style>
  <w:style w:type="paragraph" w:styleId="a6">
    <w:name w:val="List Paragraph"/>
    <w:basedOn w:val="a"/>
    <w:qFormat/>
  </w:style>
  <w:style w:type="paragraph" w:styleId="a7">
    <w:name w:val="header"/>
    <w:basedOn w:val="a"/>
    <w:semiHidden/>
    <w:pPr>
      <w:tabs>
        <w:tab w:val="center" w:pos="4819"/>
        <w:tab w:val="right" w:pos="9639"/>
      </w:tabs>
    </w:pPr>
  </w:style>
  <w:style w:type="paragraph" w:customStyle="1" w:styleId="a8">
    <w:name w:val="Верхний колонтитул Знак"/>
    <w:rPr>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sz w:val="24"/>
      <w:szCs w:val="24"/>
    </w:rPr>
  </w:style>
  <w:style w:type="paragraph" w:styleId="1">
    <w:name w:val="heading 1"/>
    <w:basedOn w:val="a"/>
    <w:qFormat/>
    <w:pPr>
      <w:spacing w:before="240" w:after="60"/>
      <w:outlineLvl w:val="0"/>
    </w:pPr>
    <w:rPr>
      <w:rFonts w:ascii="Arial" w:hAnsi="Arial" w:cs="Arial"/>
      <w:b/>
      <w:bCs/>
      <w:kern w:val="32"/>
      <w:sz w:val="32"/>
      <w:szCs w:val="32"/>
    </w:rPr>
  </w:style>
  <w:style w:type="paragraph" w:styleId="2">
    <w:name w:val="heading 2"/>
    <w:basedOn w:val="a"/>
    <w:qFormat/>
    <w:pPr>
      <w:spacing w:before="240" w:after="60"/>
      <w:outlineLvl w:val="1"/>
    </w:pPr>
    <w:rPr>
      <w:rFonts w:ascii="Arial" w:hAnsi="Arial" w:cs="Arial"/>
      <w:b/>
      <w:bCs/>
      <w:i/>
      <w:iCs/>
      <w:sz w:val="28"/>
      <w:szCs w:val="28"/>
    </w:rPr>
  </w:style>
  <w:style w:type="paragraph" w:styleId="3">
    <w:name w:val="heading 3"/>
    <w:basedOn w:val="a"/>
    <w:qFormat/>
    <w:pPr>
      <w:spacing w:before="100" w:after="100"/>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шрифт абзаца1"/>
    <w:semiHidden/>
    <w:rPr>
      <w:noProof/>
    </w:rPr>
  </w:style>
  <w:style w:type="character" w:customStyle="1" w:styleId="11">
    <w:name w:val="Нет списка1"/>
    <w:semiHidden/>
    <w:rPr>
      <w:rFonts w:ascii="Times New Roman" w:eastAsia="Times New Roman" w:hAnsi="Times New Roman" w:cs="Times New Roman"/>
    </w:rPr>
  </w:style>
  <w:style w:type="paragraph" w:customStyle="1" w:styleId="12">
    <w:name w:val="Номер страницы1"/>
    <w:semiHidden/>
    <w:rPr>
      <w:noProof/>
    </w:rPr>
  </w:style>
  <w:style w:type="paragraph" w:styleId="a3">
    <w:name w:val="footer"/>
    <w:basedOn w:val="a"/>
    <w:semiHidden/>
    <w:pPr>
      <w:tabs>
        <w:tab w:val="center" w:pos="4677"/>
        <w:tab w:val="right" w:pos="9355"/>
      </w:tabs>
    </w:pPr>
  </w:style>
  <w:style w:type="paragraph" w:customStyle="1" w:styleId="apple-converted-space">
    <w:name w:val="apple-converted-space"/>
    <w:rPr>
      <w:noProof/>
    </w:rPr>
  </w:style>
  <w:style w:type="paragraph" w:styleId="a4">
    <w:name w:val="Normal (Web)"/>
    <w:basedOn w:val="a"/>
    <w:semiHidden/>
    <w:pPr>
      <w:spacing w:before="100" w:after="100"/>
    </w:pPr>
  </w:style>
  <w:style w:type="paragraph" w:customStyle="1" w:styleId="13">
    <w:name w:val="Строгий1"/>
    <w:qFormat/>
    <w:rPr>
      <w:b/>
      <w:bCs/>
      <w:noProof/>
    </w:rPr>
  </w:style>
  <w:style w:type="paragraph" w:customStyle="1" w:styleId="ga1on">
    <w:name w:val="_ga1_on_"/>
    <w:basedOn w:val="10"/>
  </w:style>
  <w:style w:type="paragraph" w:customStyle="1" w:styleId="14">
    <w:name w:val="Гиперссылка1"/>
    <w:semiHidden/>
    <w:rPr>
      <w:noProof/>
      <w:color w:val="0000FF"/>
      <w:u w:val="single"/>
    </w:rPr>
  </w:style>
  <w:style w:type="paragraph" w:styleId="a5">
    <w:name w:val="Balloon Text"/>
    <w:basedOn w:val="a"/>
    <w:semiHidden/>
    <w:rPr>
      <w:rFonts w:ascii="Tahoma" w:hAnsi="Tahoma" w:cs="Tahoma"/>
      <w:sz w:val="16"/>
      <w:szCs w:val="16"/>
    </w:rPr>
  </w:style>
  <w:style w:type="paragraph" w:customStyle="1" w:styleId="acp">
    <w:name w:val="acp"/>
    <w:basedOn w:val="a"/>
    <w:pPr>
      <w:spacing w:before="100" w:after="100"/>
    </w:pPr>
  </w:style>
  <w:style w:type="paragraph" w:customStyle="1" w:styleId="15">
    <w:name w:val="Абзац списка1"/>
    <w:basedOn w:val="a"/>
    <w:pPr>
      <w:spacing w:after="200" w:line="275" w:lineRule="auto"/>
    </w:pPr>
    <w:rPr>
      <w:rFonts w:ascii="Calibri" w:hAnsi="Calibri" w:cs="Calibri"/>
      <w:sz w:val="22"/>
      <w:szCs w:val="22"/>
    </w:rPr>
  </w:style>
  <w:style w:type="paragraph" w:styleId="20">
    <w:name w:val="Body Text Indent 2"/>
    <w:basedOn w:val="a"/>
    <w:semiHidden/>
    <w:pPr>
      <w:spacing w:after="120" w:line="480" w:lineRule="auto"/>
    </w:pPr>
  </w:style>
  <w:style w:type="paragraph" w:customStyle="1" w:styleId="21">
    <w:name w:val="Основной текст с отступом 2 Знак"/>
    <w:rPr>
      <w:noProof/>
      <w:sz w:val="24"/>
      <w:szCs w:val="24"/>
    </w:rPr>
  </w:style>
  <w:style w:type="paragraph" w:customStyle="1" w:styleId="rvts0">
    <w:name w:val="rvts0"/>
    <w:rPr>
      <w:noProof/>
    </w:rPr>
  </w:style>
  <w:style w:type="paragraph" w:styleId="a6">
    <w:name w:val="List Paragraph"/>
    <w:basedOn w:val="a"/>
    <w:qFormat/>
  </w:style>
  <w:style w:type="paragraph" w:styleId="a7">
    <w:name w:val="header"/>
    <w:basedOn w:val="a"/>
    <w:semiHidden/>
    <w:pPr>
      <w:tabs>
        <w:tab w:val="center" w:pos="4819"/>
        <w:tab w:val="right" w:pos="9639"/>
      </w:tabs>
    </w:pPr>
  </w:style>
  <w:style w:type="paragraph" w:customStyle="1" w:styleId="a8">
    <w:name w:val="Верхний колонтитул Знак"/>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4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BB646-13E4-4E6C-A12E-8664E316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3786</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ПОЯСНЮВАЛЬНА ЗАПИСКА</vt:lpstr>
      <vt:lpstr>ПОЯСНЮВАЛЬНА ЗАПИСКА</vt:lpstr>
    </vt:vector>
  </TitlesOfParts>
  <Company>VR</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Krokhmaliuk</dc:creator>
  <cp:lastModifiedBy>user</cp:lastModifiedBy>
  <cp:revision>2</cp:revision>
  <cp:lastPrinted>2019-11-05T13:03:00Z</cp:lastPrinted>
  <dcterms:created xsi:type="dcterms:W3CDTF">2020-02-14T13:55:00Z</dcterms:created>
  <dcterms:modified xsi:type="dcterms:W3CDTF">2020-02-14T13:55:00Z</dcterms:modified>
</cp:coreProperties>
</file>