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FBE" w:rsidRPr="00E575DB" w:rsidRDefault="00F7668B" w:rsidP="008D4F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5DB">
        <w:rPr>
          <w:rFonts w:ascii="Times New Roman" w:hAnsi="Times New Roman" w:cs="Times New Roman"/>
          <w:b/>
          <w:sz w:val="28"/>
          <w:szCs w:val="28"/>
        </w:rPr>
        <w:t>ВИСНОВОК</w:t>
      </w:r>
    </w:p>
    <w:p w:rsidR="008A5974" w:rsidRPr="00E575DB" w:rsidRDefault="00F7668B" w:rsidP="008D4F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5DB">
        <w:rPr>
          <w:rFonts w:ascii="Times New Roman" w:hAnsi="Times New Roman" w:cs="Times New Roman"/>
          <w:b/>
          <w:sz w:val="28"/>
          <w:szCs w:val="28"/>
        </w:rPr>
        <w:t xml:space="preserve">Комітету Верховної Ради України з питань інтеграції України </w:t>
      </w:r>
    </w:p>
    <w:p w:rsidR="00F7668B" w:rsidRPr="00E575DB" w:rsidRDefault="00F7668B" w:rsidP="008D4F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5DB">
        <w:rPr>
          <w:rFonts w:ascii="Times New Roman" w:hAnsi="Times New Roman" w:cs="Times New Roman"/>
          <w:b/>
          <w:sz w:val="28"/>
          <w:szCs w:val="28"/>
        </w:rPr>
        <w:t>з Європейським Союзом</w:t>
      </w:r>
    </w:p>
    <w:p w:rsidR="00F7668B" w:rsidRPr="00E575DB" w:rsidRDefault="00F7668B" w:rsidP="008D4F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5DB">
        <w:rPr>
          <w:rFonts w:ascii="Times New Roman" w:hAnsi="Times New Roman" w:cs="Times New Roman"/>
          <w:b/>
          <w:sz w:val="28"/>
          <w:szCs w:val="28"/>
        </w:rPr>
        <w:t>щодо проекту Закону України</w:t>
      </w:r>
    </w:p>
    <w:p w:rsidR="00B96D39" w:rsidRPr="00E575DB" w:rsidRDefault="0067680D" w:rsidP="008A59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5DB">
        <w:rPr>
          <w:rFonts w:ascii="Times New Roman" w:hAnsi="Times New Roman" w:cs="Times New Roman"/>
          <w:b/>
          <w:sz w:val="28"/>
          <w:szCs w:val="28"/>
        </w:rPr>
        <w:t>про внесення змін до деяких законодавчих актів щодо забезпечення рівних прав та можливостей громадян із представництва у наглядових радах та органах правління державних унітарних підприємств, господарських товариств та державних банків та справедливого формування і ефективної діяльності таких наглядових рад із врахуванням національних інтересів України</w:t>
      </w:r>
    </w:p>
    <w:p w:rsidR="00F7668B" w:rsidRPr="00E575DB" w:rsidRDefault="00F7668B" w:rsidP="008A59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75DB">
        <w:rPr>
          <w:rFonts w:ascii="Times New Roman" w:hAnsi="Times New Roman" w:cs="Times New Roman"/>
          <w:sz w:val="28"/>
          <w:szCs w:val="28"/>
        </w:rPr>
        <w:t xml:space="preserve">(реєстр. № </w:t>
      </w:r>
      <w:r w:rsidR="00105F68" w:rsidRPr="00E575DB">
        <w:rPr>
          <w:rFonts w:ascii="Times New Roman" w:hAnsi="Times New Roman" w:cs="Times New Roman"/>
          <w:sz w:val="28"/>
          <w:szCs w:val="28"/>
        </w:rPr>
        <w:t>3</w:t>
      </w:r>
      <w:r w:rsidR="004206E5" w:rsidRPr="00E575DB">
        <w:rPr>
          <w:rFonts w:ascii="Times New Roman" w:hAnsi="Times New Roman" w:cs="Times New Roman"/>
          <w:sz w:val="28"/>
          <w:szCs w:val="28"/>
        </w:rPr>
        <w:t>193</w:t>
      </w:r>
      <w:r w:rsidR="0067680D" w:rsidRPr="00E575DB">
        <w:rPr>
          <w:rFonts w:ascii="Times New Roman" w:hAnsi="Times New Roman" w:cs="Times New Roman"/>
          <w:sz w:val="28"/>
          <w:szCs w:val="28"/>
        </w:rPr>
        <w:t>-1</w:t>
      </w:r>
      <w:r w:rsidRPr="00E575DB">
        <w:rPr>
          <w:rFonts w:ascii="Times New Roman" w:hAnsi="Times New Roman" w:cs="Times New Roman"/>
          <w:sz w:val="28"/>
          <w:szCs w:val="28"/>
        </w:rPr>
        <w:t xml:space="preserve"> від </w:t>
      </w:r>
      <w:r w:rsidR="0067680D" w:rsidRPr="00E575DB">
        <w:rPr>
          <w:rFonts w:ascii="Times New Roman" w:hAnsi="Times New Roman" w:cs="Times New Roman"/>
          <w:sz w:val="28"/>
          <w:szCs w:val="28"/>
        </w:rPr>
        <w:t>17</w:t>
      </w:r>
      <w:r w:rsidRPr="00E575DB">
        <w:rPr>
          <w:rFonts w:ascii="Times New Roman" w:hAnsi="Times New Roman" w:cs="Times New Roman"/>
          <w:sz w:val="28"/>
          <w:szCs w:val="28"/>
        </w:rPr>
        <w:t>.0</w:t>
      </w:r>
      <w:r w:rsidR="00B96D39" w:rsidRPr="00E575DB">
        <w:rPr>
          <w:rFonts w:ascii="Times New Roman" w:hAnsi="Times New Roman" w:cs="Times New Roman"/>
          <w:sz w:val="28"/>
          <w:szCs w:val="28"/>
        </w:rPr>
        <w:t>3</w:t>
      </w:r>
      <w:r w:rsidRPr="00E575DB">
        <w:rPr>
          <w:rFonts w:ascii="Times New Roman" w:hAnsi="Times New Roman" w:cs="Times New Roman"/>
          <w:sz w:val="28"/>
          <w:szCs w:val="28"/>
        </w:rPr>
        <w:t xml:space="preserve">.2020, </w:t>
      </w:r>
      <w:r w:rsidR="0067680D" w:rsidRPr="00E575DB">
        <w:rPr>
          <w:rFonts w:ascii="Times New Roman" w:hAnsi="Times New Roman" w:cs="Times New Roman"/>
          <w:sz w:val="28"/>
          <w:szCs w:val="28"/>
        </w:rPr>
        <w:t xml:space="preserve">Деркач А.Л., </w:t>
      </w:r>
      <w:proofErr w:type="spellStart"/>
      <w:r w:rsidR="0067680D" w:rsidRPr="00E575DB">
        <w:rPr>
          <w:rFonts w:ascii="Times New Roman" w:hAnsi="Times New Roman" w:cs="Times New Roman"/>
          <w:sz w:val="28"/>
          <w:szCs w:val="28"/>
        </w:rPr>
        <w:t>Дубінський</w:t>
      </w:r>
      <w:proofErr w:type="spellEnd"/>
      <w:r w:rsidR="0067680D" w:rsidRPr="00E575DB">
        <w:rPr>
          <w:rFonts w:ascii="Times New Roman" w:hAnsi="Times New Roman" w:cs="Times New Roman"/>
          <w:sz w:val="28"/>
          <w:szCs w:val="28"/>
        </w:rPr>
        <w:t xml:space="preserve"> О.А.</w:t>
      </w:r>
      <w:r w:rsidRPr="00E575DB">
        <w:rPr>
          <w:rFonts w:ascii="Times New Roman" w:hAnsi="Times New Roman" w:cs="Times New Roman"/>
          <w:sz w:val="28"/>
          <w:szCs w:val="28"/>
        </w:rPr>
        <w:t>)</w:t>
      </w:r>
    </w:p>
    <w:p w:rsidR="00B86E61" w:rsidRDefault="00B86E61" w:rsidP="00636F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1C5" w:rsidRPr="00E575DB" w:rsidRDefault="003741C5" w:rsidP="00636F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68B" w:rsidRPr="00E575DB" w:rsidRDefault="00F7668B" w:rsidP="008A597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5DB">
        <w:rPr>
          <w:rFonts w:ascii="Times New Roman" w:hAnsi="Times New Roman" w:cs="Times New Roman"/>
          <w:b/>
          <w:sz w:val="28"/>
          <w:szCs w:val="28"/>
        </w:rPr>
        <w:t>1. Загальна характеристика законопроекту</w:t>
      </w:r>
    </w:p>
    <w:p w:rsidR="0067680D" w:rsidRPr="0067680D" w:rsidRDefault="0067680D" w:rsidP="0067680D">
      <w:pPr>
        <w:widowControl w:val="0"/>
        <w:autoSpaceDE w:val="0"/>
        <w:autoSpaceDN w:val="0"/>
        <w:adjustRightInd w:val="0"/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67680D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Проект Закону України розроблений з метою удосконалення діючого законодавства для створення сприятливих умов для забезпечення рівних прав та можливостей для представників обох статей, у роботі наглядових рад та органах правління державних унітарних підприємств, господарських товариств,</w:t>
      </w:r>
      <w:r w:rsidRPr="0067680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67680D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 статутному капіталі якого більше 50 відсотків акцій (часток) належать державі,  та державних банків.</w:t>
      </w:r>
    </w:p>
    <w:p w:rsidR="0067680D" w:rsidRPr="00E575DB" w:rsidRDefault="0005024F" w:rsidP="006768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5DB">
        <w:rPr>
          <w:rFonts w:ascii="Times New Roman" w:hAnsi="Times New Roman" w:cs="Times New Roman"/>
          <w:sz w:val="28"/>
          <w:szCs w:val="28"/>
        </w:rPr>
        <w:t xml:space="preserve">Проект Закону України розроблений з метою </w:t>
      </w:r>
      <w:r w:rsidR="0067680D" w:rsidRPr="00E575DB">
        <w:rPr>
          <w:rFonts w:ascii="Times New Roman" w:hAnsi="Times New Roman" w:cs="Times New Roman"/>
          <w:sz w:val="28"/>
          <w:szCs w:val="28"/>
        </w:rPr>
        <w:t xml:space="preserve">нівелювання будь-якої дискримінації громадян України в контексті </w:t>
      </w:r>
      <w:proofErr w:type="spellStart"/>
      <w:r w:rsidR="0067680D" w:rsidRPr="00E575DB">
        <w:rPr>
          <w:rFonts w:ascii="Times New Roman" w:hAnsi="Times New Roman" w:cs="Times New Roman"/>
          <w:sz w:val="28"/>
          <w:szCs w:val="28"/>
        </w:rPr>
        <w:t>залученості</w:t>
      </w:r>
      <w:proofErr w:type="spellEnd"/>
      <w:r w:rsidR="0067680D" w:rsidRPr="00E575DB">
        <w:rPr>
          <w:rFonts w:ascii="Times New Roman" w:hAnsi="Times New Roman" w:cs="Times New Roman"/>
          <w:sz w:val="28"/>
          <w:szCs w:val="28"/>
        </w:rPr>
        <w:t xml:space="preserve"> до управління державною власністю та контролю за таким управлінням.</w:t>
      </w:r>
    </w:p>
    <w:p w:rsidR="0067680D" w:rsidRPr="00E575DB" w:rsidRDefault="0067680D" w:rsidP="006768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5DB">
        <w:rPr>
          <w:rFonts w:ascii="Times New Roman" w:hAnsi="Times New Roman" w:cs="Times New Roman"/>
          <w:sz w:val="28"/>
          <w:szCs w:val="28"/>
        </w:rPr>
        <w:t>Проект встановлює принцип, відповідно до якого у наглядових радах державних унітарних підприємств, господарських товариств та державних банків можуть бути представлені виключно громадяни України, які є професіоналами у відповідній сфері та не залежать від тих чи інших громадських об’єднань, в першу чергу – від громадських об’єднань, які мають іноземне фінансування.</w:t>
      </w:r>
    </w:p>
    <w:p w:rsidR="0067680D" w:rsidRPr="00E575DB" w:rsidRDefault="0067680D" w:rsidP="006768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5DB">
        <w:rPr>
          <w:rFonts w:ascii="Times New Roman" w:hAnsi="Times New Roman" w:cs="Times New Roman"/>
          <w:sz w:val="28"/>
          <w:szCs w:val="28"/>
        </w:rPr>
        <w:t>Такий принцип дозволить не лише відкрити громадянам України доступ до участі в управлінні державними активами, але і збільшить реальну незалежність та ефективність наглядових рад. Адже члени наглядових рад мають бути незалежними саме від зовнішніх впливів, при цьому повністю підпорядковуючи свою діяльність національним інтересам України.</w:t>
      </w:r>
    </w:p>
    <w:p w:rsidR="0067680D" w:rsidRPr="00E575DB" w:rsidRDefault="0067680D" w:rsidP="006768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5DB">
        <w:rPr>
          <w:rFonts w:ascii="Times New Roman" w:hAnsi="Times New Roman" w:cs="Times New Roman"/>
          <w:sz w:val="28"/>
          <w:szCs w:val="28"/>
        </w:rPr>
        <w:t>Крім того, законопроект забороняє самим державним унітарним підприємствам, господарським товариствам та державним банкам здійснювати виплати винагород членам наглядових рад. Ця функція покладається виключно на Кабінет Міністрів України.</w:t>
      </w:r>
    </w:p>
    <w:p w:rsidR="0005024F" w:rsidRPr="00E575DB" w:rsidRDefault="0067680D" w:rsidP="006768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5DB">
        <w:rPr>
          <w:rFonts w:ascii="Times New Roman" w:hAnsi="Times New Roman" w:cs="Times New Roman"/>
          <w:sz w:val="28"/>
          <w:szCs w:val="28"/>
        </w:rPr>
        <w:t>Проект Закону України також обмежує максимальні виплати (заробітні плати, премії тощо) членам наглядових рад, що сприятиме відновленню соціальної справедливості в Україні.</w:t>
      </w:r>
    </w:p>
    <w:p w:rsidR="0067680D" w:rsidRPr="00E575DB" w:rsidRDefault="0067680D" w:rsidP="0067680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68B" w:rsidRPr="00E575DB" w:rsidRDefault="00F7668B" w:rsidP="008D4F0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5DB">
        <w:rPr>
          <w:rFonts w:ascii="Times New Roman" w:hAnsi="Times New Roman" w:cs="Times New Roman"/>
          <w:b/>
          <w:sz w:val="28"/>
          <w:szCs w:val="28"/>
        </w:rPr>
        <w:lastRenderedPageBreak/>
        <w:t>2. Належність законопроекту за предметом правового регулювання до сфери дії права Європейського Союзу</w:t>
      </w:r>
    </w:p>
    <w:p w:rsidR="00B87CF7" w:rsidRPr="00E575DB" w:rsidRDefault="00F7668B" w:rsidP="00CC01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5DB">
        <w:rPr>
          <w:rFonts w:ascii="Times New Roman" w:hAnsi="Times New Roman" w:cs="Times New Roman"/>
          <w:sz w:val="28"/>
          <w:szCs w:val="28"/>
        </w:rPr>
        <w:t xml:space="preserve">Проект Закону за предметом правового регулювання </w:t>
      </w:r>
      <w:r w:rsidR="0005024F" w:rsidRPr="00E575DB">
        <w:rPr>
          <w:rFonts w:ascii="Times New Roman" w:hAnsi="Times New Roman" w:cs="Times New Roman"/>
          <w:sz w:val="28"/>
          <w:szCs w:val="28"/>
        </w:rPr>
        <w:t xml:space="preserve">належить до сфери законодавство про компанії, що відповідно до Закону України «Про Загальнодержавну програму адаптації законодавства України до законодавства Європейського Союзу» від 18 березня 2004 року № 1629-IV належить до пріоритетних сфер, в яких здійснюється адаптація законодавства України до законодавства Європейського Союзу та охоплюється зобов’язаннями України передбаченими у рамках </w:t>
      </w:r>
      <w:r w:rsidR="00CC0119" w:rsidRPr="00E575DB">
        <w:rPr>
          <w:rFonts w:ascii="Times New Roman" w:hAnsi="Times New Roman" w:cs="Times New Roman"/>
          <w:sz w:val="28"/>
          <w:szCs w:val="28"/>
        </w:rPr>
        <w:t xml:space="preserve">Глави 13 «Законодавство про заснування та діяльність компаній, корпоративне управління, бухгалтерський облік та аудит» та </w:t>
      </w:r>
      <w:r w:rsidR="00636F8F" w:rsidRPr="00E575DB">
        <w:rPr>
          <w:rFonts w:ascii="Times New Roman" w:hAnsi="Times New Roman" w:cs="Times New Roman"/>
          <w:sz w:val="28"/>
          <w:szCs w:val="28"/>
        </w:rPr>
        <w:t xml:space="preserve">Глави 21 «Співробітництво у галузі зайнятості, соціальної політики та рівних можливостей» Розділу V «Економічне та галузеве співробітництво» </w:t>
      </w:r>
      <w:r w:rsidR="008D4F02" w:rsidRPr="00E575DB">
        <w:rPr>
          <w:rFonts w:ascii="Times New Roman" w:hAnsi="Times New Roman" w:cs="Times New Roman"/>
          <w:sz w:val="28"/>
          <w:szCs w:val="28"/>
        </w:rPr>
        <w:t xml:space="preserve">Угоди </w:t>
      </w:r>
      <w:r w:rsidR="00285458" w:rsidRPr="00E575DB">
        <w:rPr>
          <w:rFonts w:ascii="Times New Roman" w:hAnsi="Times New Roman" w:cs="Times New Roman"/>
          <w:sz w:val="28"/>
          <w:szCs w:val="28"/>
        </w:rPr>
        <w:t>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</w:t>
      </w:r>
      <w:r w:rsidR="008D4F02" w:rsidRPr="00E575DB">
        <w:rPr>
          <w:rFonts w:ascii="Times New Roman" w:hAnsi="Times New Roman" w:cs="Times New Roman"/>
          <w:sz w:val="28"/>
          <w:szCs w:val="28"/>
        </w:rPr>
        <w:t xml:space="preserve"> (далі – Угода про асоціацію).</w:t>
      </w:r>
    </w:p>
    <w:p w:rsidR="004F5AE0" w:rsidRPr="00E575DB" w:rsidRDefault="004F5AE0" w:rsidP="008D4F0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F02" w:rsidRPr="00E575DB" w:rsidRDefault="008D4F02" w:rsidP="008D4F0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5DB">
        <w:rPr>
          <w:rFonts w:ascii="Times New Roman" w:hAnsi="Times New Roman" w:cs="Times New Roman"/>
          <w:b/>
          <w:sz w:val="28"/>
          <w:szCs w:val="28"/>
        </w:rPr>
        <w:t>3. Відповідність законопроекту праву ЄС</w:t>
      </w:r>
    </w:p>
    <w:p w:rsidR="0067680D" w:rsidRPr="00E575DB" w:rsidRDefault="0067680D" w:rsidP="006C2167">
      <w:pPr>
        <w:snapToGrid w:val="0"/>
        <w:spacing w:before="140" w:after="1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5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Основними відмінностями альтернативного законопроекту (реєстр. № 3193-1 від 17.03.2020) від основного (реєстр. № 3193 від 06.03.2020) є вимоги до членів наглядових рад державних унітарних підприємств, господарських товариств, у статутному капіталі яких більше 50 відсотків акцій (часто</w:t>
      </w:r>
      <w:r w:rsidR="00524AFE">
        <w:rPr>
          <w:rFonts w:ascii="Times New Roman" w:eastAsia="Times New Roman" w:hAnsi="Times New Roman" w:cs="Times New Roman"/>
          <w:sz w:val="28"/>
          <w:szCs w:val="28"/>
          <w:lang w:eastAsia="ru-RU"/>
        </w:rPr>
        <w:t>к) належать державі, державних</w:t>
      </w:r>
      <w:r w:rsidR="00524AFE" w:rsidRPr="0052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75D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банків щодо громадянства, освіти, стажу професійної діяльності, рівня компетентності, оплати діяльності та компенсації витрат, пов’язаних з виконанням своїх функцій. Також проектом закону встановлюється максимальний місячний розмір оплати послуг членів наглядових рад. Передбачені підстави дострокового припинення повноважень члена наглядової ради.</w:t>
      </w:r>
    </w:p>
    <w:p w:rsidR="006C2167" w:rsidRPr="00E575DB" w:rsidRDefault="006C2167" w:rsidP="006C2167">
      <w:pPr>
        <w:snapToGrid w:val="0"/>
        <w:spacing w:before="140" w:after="1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результатами правового аналізу проекту Закону щодо його відповідності </w:t>
      </w:r>
      <w:proofErr w:type="spellStart"/>
      <w:r w:rsidRPr="00E575DB">
        <w:rPr>
          <w:rFonts w:ascii="Times New Roman" w:eastAsia="Times New Roman" w:hAnsi="Times New Roman" w:cs="Times New Roman"/>
          <w:sz w:val="28"/>
          <w:szCs w:val="28"/>
          <w:lang w:eastAsia="ru-RU"/>
        </w:rPr>
        <w:t>aquis</w:t>
      </w:r>
      <w:proofErr w:type="spellEnd"/>
      <w:r w:rsidRPr="00E5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ЄС та Угоді про асоціацію слід зазначити таке.</w:t>
      </w:r>
    </w:p>
    <w:p w:rsidR="00CC0119" w:rsidRPr="00E575DB" w:rsidRDefault="00CC0119" w:rsidP="00CC0119">
      <w:pPr>
        <w:snapToGrid w:val="0"/>
        <w:spacing w:before="140" w:after="1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5DB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 з положеннями статті 387 Угоди про асоціацію,  Сторони домовилися співробітничати з питань подальшого розвитку політики корпоративного управління відповідно до міжнародних стандартів, а також поступового наближення до правил та рекомендацій ЄС у цій сфері згідно з Додатком XXXVІ до цієї Угоди</w:t>
      </w:r>
      <w:r w:rsidR="00F627AD" w:rsidRPr="00E5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зокрема, </w:t>
      </w:r>
      <w:r w:rsidR="00A0600B" w:rsidRPr="00E575D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627AD" w:rsidRPr="00E575D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ринцип</w:t>
      </w:r>
      <w:r w:rsidR="00A0600B" w:rsidRPr="00E575DB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F627AD" w:rsidRPr="00E5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ОЕСР щодо корпоративного управління. </w:t>
      </w:r>
    </w:p>
    <w:p w:rsidR="00A0600B" w:rsidRPr="00E575DB" w:rsidRDefault="00A0600B" w:rsidP="00CC0119">
      <w:pPr>
        <w:snapToGrid w:val="0"/>
        <w:spacing w:before="140" w:after="1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Принципами ОЕСР щодо корпоративного управління передбачена необхідність </w:t>
      </w:r>
      <w:r w:rsidR="00FE03CA" w:rsidRPr="00E5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організації-власнику </w:t>
      </w:r>
      <w:r w:rsidRPr="00E5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взяти до уваги Рекомендацію ОЕСР щодо гендерної рівності в сферах освіти, зайнятості та підприємництва та рекомендовано надавати підтримку </w:t>
      </w:r>
      <w:r w:rsidR="00FE03CA" w:rsidRPr="00E5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заходам, як добровільне запровадження гендерних показників, вимог до розкриття інформації та приватних ініціатив, </w:t>
      </w:r>
      <w:r w:rsidR="00FE03CA" w:rsidRPr="00E575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націлених на вдосконалення гендерного представництва</w:t>
      </w:r>
      <w:r w:rsidR="00FE03CA" w:rsidRPr="00E5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3CA" w:rsidRPr="00E575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наглядових радах</w:t>
      </w:r>
      <w:r w:rsidR="00FE03CA" w:rsidRPr="00E5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у вищій ланці керівників публічних компаній.</w:t>
      </w:r>
      <w:r w:rsidRPr="00E5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6F8F" w:rsidRPr="00E575DB" w:rsidRDefault="00636F8F" w:rsidP="00636F8F">
      <w:pPr>
        <w:snapToGrid w:val="0"/>
        <w:spacing w:before="140" w:after="1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5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Відповідно до статті 419 Угоди про асоціацію, Сторони посилюють діалог та співробітництво щодо забезпечення гідної праці, політики зайнятості, безпечних та здорових умов праці, соціального діалогу, соціального захисту, соціального залучення, </w:t>
      </w:r>
      <w:r w:rsidRPr="00E575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гендерної рівності та недискримінації</w:t>
      </w:r>
      <w:r w:rsidRPr="00E575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7BA2" w:rsidRPr="00E575DB" w:rsidRDefault="00497BA2" w:rsidP="005C03B2">
      <w:pPr>
        <w:snapToGrid w:val="0"/>
        <w:spacing w:before="140" w:after="1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Положеннями статті 420 Угоди про асоціацію, передбачено, що співробітництво у сферах, визначених у статті 419 цієї Угоди, передбачає досягнення таких цілей, зокрема, </w:t>
      </w:r>
      <w:r w:rsidRPr="00E575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забезпечення гендерної рівності та рівних можливостей для чоловіків та жінок у сфері зайнятості, освіти та навчання, економічної та суспільної діяльності, а також у процесі прийняття рішень.</w:t>
      </w:r>
    </w:p>
    <w:p w:rsidR="00497BA2" w:rsidRPr="00E575DB" w:rsidRDefault="000C300B" w:rsidP="000C300B">
      <w:pPr>
        <w:snapToGrid w:val="0"/>
        <w:spacing w:before="140" w:after="1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відповідності з положеннями статті </w:t>
      </w:r>
      <w:r w:rsidR="00497BA2" w:rsidRPr="00E575DB">
        <w:rPr>
          <w:rFonts w:ascii="Times New Roman" w:eastAsia="Times New Roman" w:hAnsi="Times New Roman" w:cs="Times New Roman"/>
          <w:sz w:val="28"/>
          <w:szCs w:val="28"/>
          <w:lang w:eastAsia="ru-RU"/>
        </w:rPr>
        <w:t>2 Договору про Європейський Союз</w:t>
      </w:r>
      <w:r w:rsidRPr="00E5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(далі – ДФЄС) </w:t>
      </w:r>
      <w:r w:rsidR="00497BA2" w:rsidRPr="00E5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 засновано на цінностях поваги до людської гідності, свободи, демократії, рівності, верховенства права та поваги до прав людини, зокрема осіб, що належать до меншин. Ці цінності є спільними для всіх держав-членів у суспільстві, де панує плюралізм, недискримінація, толерантність, правосуддя, </w:t>
      </w:r>
      <w:r w:rsidR="00497BA2" w:rsidRPr="00E575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солідарність та рівність жінок і чоловіків.</w:t>
      </w:r>
    </w:p>
    <w:p w:rsidR="000C300B" w:rsidRPr="00E575DB" w:rsidRDefault="000C300B" w:rsidP="000C300B">
      <w:pPr>
        <w:snapToGrid w:val="0"/>
        <w:spacing w:before="140" w:after="1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 бореться проти соціального вилучення та дискримінації, підтримує соціальну справедливість та захист, </w:t>
      </w:r>
      <w:r w:rsidRPr="00E575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рівність жінок і чоловіків</w:t>
      </w:r>
      <w:r w:rsidRPr="00E575D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зв’язок між поколіннями, захист прав дитини (стаття 3 ДФЄС).</w:t>
      </w:r>
    </w:p>
    <w:p w:rsidR="00497BA2" w:rsidRPr="00E575DB" w:rsidRDefault="00497BA2" w:rsidP="00497BA2">
      <w:pPr>
        <w:snapToGrid w:val="0"/>
        <w:spacing w:before="140" w:after="1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своїй діяльності Союз спрямовується на усунення </w:t>
      </w:r>
      <w:proofErr w:type="spellStart"/>
      <w:r w:rsidRPr="00E575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нерівностей</w:t>
      </w:r>
      <w:proofErr w:type="spellEnd"/>
      <w:r w:rsidRPr="00E5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Pr="00E575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сприяння рівності жінок та чоловіків</w:t>
      </w:r>
      <w:r w:rsidR="000C300B" w:rsidRPr="00E575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(стаття 8 ДФЄС)</w:t>
      </w:r>
      <w:r w:rsidRPr="00E575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36F56" w:rsidRPr="00E575DB" w:rsidRDefault="00C20112" w:rsidP="00E36F56">
      <w:pPr>
        <w:snapToGrid w:val="0"/>
        <w:spacing w:before="140" w:after="14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75DB">
        <w:rPr>
          <w:rFonts w:ascii="Times New Roman" w:eastAsia="Times New Roman" w:hAnsi="Times New Roman" w:cs="Times New Roman"/>
          <w:sz w:val="28"/>
          <w:szCs w:val="28"/>
          <w:lang w:eastAsia="ru-RU"/>
        </w:rPr>
        <w:t>Як визначено в статті 15</w:t>
      </w:r>
      <w:r w:rsidR="00E36F56" w:rsidRPr="00E575D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5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00B" w:rsidRPr="00E575DB">
        <w:rPr>
          <w:rFonts w:ascii="Times New Roman" w:eastAsia="Times New Roman" w:hAnsi="Times New Roman" w:cs="Times New Roman"/>
          <w:sz w:val="28"/>
          <w:szCs w:val="28"/>
          <w:lang w:eastAsia="ru-RU"/>
        </w:rPr>
        <w:t>ДФЄС</w:t>
      </w:r>
      <w:r w:rsidR="00431C11" w:rsidRPr="00E5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F56" w:rsidRPr="00E5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 підтримує та доповнює діяльність держав-членів у таких сферах, зокрема, (i) </w:t>
      </w:r>
      <w:r w:rsidR="00E36F56" w:rsidRPr="00E575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рівність жінок та чоловіків щодо їхніх можливостей на ринку праці та ставлення на роботі.</w:t>
      </w:r>
    </w:p>
    <w:p w:rsidR="00F627AD" w:rsidRPr="00E575DB" w:rsidRDefault="000C300B" w:rsidP="00F627AD">
      <w:pPr>
        <w:snapToGrid w:val="0"/>
        <w:spacing w:before="140" w:after="1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Закону також узгоджується з </w:t>
      </w:r>
      <w:r w:rsidR="00F627AD" w:rsidRPr="00E575D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Директив</w:t>
      </w:r>
      <w:r w:rsidRPr="00E575DB">
        <w:rPr>
          <w:rFonts w:ascii="Times New Roman" w:eastAsia="Times New Roman" w:hAnsi="Times New Roman" w:cs="Times New Roman"/>
          <w:sz w:val="28"/>
          <w:szCs w:val="28"/>
          <w:lang w:eastAsia="ru-RU"/>
        </w:rPr>
        <w:t>ою</w:t>
      </w:r>
      <w:r w:rsidR="00F627AD" w:rsidRPr="00E5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№ 2000/78/Є</w:t>
      </w:r>
      <w:r w:rsidR="00422A07" w:rsidRPr="00E575D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627AD" w:rsidRPr="00E5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27 листопада 2000 року</w:t>
      </w:r>
      <w:r w:rsidR="00E15EF0" w:rsidRPr="00E5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15EF0" w:rsidRPr="00E575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Official</w:t>
      </w:r>
      <w:r w:rsidR="00E15EF0" w:rsidRPr="00E5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5EF0" w:rsidRPr="00E575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Journal</w:t>
      </w:r>
      <w:r w:rsidR="00E15EF0" w:rsidRPr="00E5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5EF0" w:rsidRPr="00E575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="00E15EF0" w:rsidRPr="00E5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303, 02.12.2000, </w:t>
      </w:r>
      <w:r w:rsidR="00E15EF0" w:rsidRPr="00E575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="00E15EF0" w:rsidRPr="00E575DB">
        <w:rPr>
          <w:rFonts w:ascii="Times New Roman" w:eastAsia="Times New Roman" w:hAnsi="Times New Roman" w:cs="Times New Roman"/>
          <w:sz w:val="28"/>
          <w:szCs w:val="28"/>
          <w:lang w:eastAsia="ru-RU"/>
        </w:rPr>
        <w:t>. 16 – 22)</w:t>
      </w:r>
      <w:r w:rsidR="00F627AD" w:rsidRPr="00E575DB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встановлює загальну си</w:t>
      </w:r>
      <w:r w:rsidR="0028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стему рівного ставлення </w:t>
      </w:r>
      <w:r w:rsidR="00F627AD" w:rsidRPr="00E5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сфері зайнятості та професійної діяльності. Метою Директиви є створення системи для боротьби з дискримінацією на основі релігії або віросповідання, обмеженості фізичних можливостей, віку або сексуальної орієнтації у питаннях зайнятості та професії, з метою реалізації принципу рівноправ’я. </w:t>
      </w:r>
      <w:r w:rsidRPr="00E5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Директивою </w:t>
      </w:r>
      <w:r w:rsidR="00F627AD" w:rsidRPr="00E5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встановлюється загальнообов’язковий для всіх країн мінімум </w:t>
      </w:r>
      <w:proofErr w:type="spellStart"/>
      <w:r w:rsidR="00F627AD" w:rsidRPr="00E575D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антидискримінаційних</w:t>
      </w:r>
      <w:proofErr w:type="spellEnd"/>
      <w:r w:rsidR="00F627AD" w:rsidRPr="00E5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 у сфері доступу до  працевлаштування та підвищення на посаді, стажування, умов праці, зарплатні, звільнень, членства в професійних організаціях.</w:t>
      </w:r>
    </w:p>
    <w:p w:rsidR="00F627AD" w:rsidRPr="00E575DB" w:rsidRDefault="000C300B" w:rsidP="000C300B">
      <w:pPr>
        <w:snapToGrid w:val="0"/>
        <w:spacing w:before="140" w:after="1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5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Додатково необхідно зазначити, що г</w:t>
      </w:r>
      <w:r w:rsidR="00F627AD" w:rsidRPr="00E5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ендерні квоти, є практичною реалізацією  статті </w:t>
      </w:r>
      <w:r w:rsidR="00EE51C6" w:rsidRPr="00E5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F627AD" w:rsidRPr="00E575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Конвенції ООН з ліквідації всіх форм дискримінації щодо жінок.</w:t>
      </w:r>
      <w:r w:rsidRPr="00E5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7AD" w:rsidRPr="00E5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гендерної рівності закладено </w:t>
      </w:r>
      <w:r w:rsidRPr="00E5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r w:rsidR="00F627AD" w:rsidRPr="00E575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</w:t>
      </w:r>
      <w:r w:rsidRPr="00E575DB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агальну декларацію прав людини</w:t>
      </w:r>
      <w:r w:rsidR="00E15EF0" w:rsidRPr="00E5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(стаття 2)</w:t>
      </w:r>
      <w:r w:rsidRPr="00E575D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включено його</w:t>
      </w:r>
      <w:r w:rsidR="00F627AD" w:rsidRPr="00E5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переліку Цілей сталого розвитку</w:t>
      </w:r>
      <w:r w:rsidR="00E15EF0" w:rsidRPr="00E5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(Ціль 5)</w:t>
      </w:r>
      <w:r w:rsidR="00F627AD" w:rsidRPr="00E575DB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засвідчує наявність світового консенсусу щодо необхідності рівного представництва жінок на всіх рівнях прийняття рішень.</w:t>
      </w:r>
    </w:p>
    <w:p w:rsidR="00AF58B1" w:rsidRPr="00E575DB" w:rsidRDefault="00AF58B1" w:rsidP="00AF58B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Законодавство держав-членів </w:t>
      </w:r>
      <w:r w:rsidR="0052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ЄС </w:t>
      </w:r>
      <w:r w:rsidRPr="00E5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="00E575DB" w:rsidRPr="00E575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компанії</w:t>
      </w:r>
      <w:r w:rsidRPr="00E5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містить положення щодо компетентності/кваліфікації наглядових </w:t>
      </w:r>
      <w:r w:rsidR="00E575DB" w:rsidRPr="00E575D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директорів, о</w:t>
      </w:r>
      <w:r w:rsidRPr="00E575D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крім того</w:t>
      </w:r>
      <w:r w:rsidR="00E575DB" w:rsidRPr="00E575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члени </w:t>
      </w:r>
      <w:r w:rsidR="0028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(наглядової) </w:t>
      </w:r>
      <w:r w:rsidRPr="00E5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 мають обиратися зважаючи на те, чи вони є фахівцями у певній </w:t>
      </w:r>
      <w:r w:rsidR="00016895" w:rsidRPr="00E575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галузі. </w:t>
      </w:r>
      <w:r w:rsidRPr="00E5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того, щоб акціонери мали достатній рівень довіри наглядовим директорам, вони мають бути поінформованими про особливі навички цих директорів з огляду на склад ради.  </w:t>
      </w:r>
    </w:p>
    <w:p w:rsidR="0067680D" w:rsidRDefault="00016895" w:rsidP="00045A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5DB">
        <w:rPr>
          <w:rFonts w:ascii="Times New Roman" w:eastAsia="Times New Roman" w:hAnsi="Times New Roman" w:cs="Times New Roman"/>
          <w:sz w:val="28"/>
          <w:szCs w:val="28"/>
          <w:lang w:eastAsia="ru-RU"/>
        </w:rPr>
        <w:t>З огляду на зазначене, н</w:t>
      </w:r>
      <w:r w:rsidR="0067680D" w:rsidRPr="00E5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 проекту Закону кореспондуються з положеннями Рекомендацій Комісії №2005/162/ЄС від 15.02.2005 р. про роль невиконавчих директорів або наглядових директорів </w:t>
      </w:r>
      <w:proofErr w:type="spellStart"/>
      <w:r w:rsidR="0067680D" w:rsidRPr="00E575DB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лістингованих</w:t>
      </w:r>
      <w:proofErr w:type="spellEnd"/>
      <w:r w:rsidR="0067680D" w:rsidRPr="00E5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компаній і про комітети (наглядової) ради</w:t>
      </w:r>
      <w:r w:rsidR="003C1E68" w:rsidRPr="00E5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частині, що (наглядова) рада повинна забезпечувати, щоб вона складалась з учасників, які, в цілому, мають необхідні знання, судження й досвід для виконання їх завдань належним чином (п. 11.7)</w:t>
      </w:r>
      <w:r w:rsidR="00AF58B1" w:rsidRPr="00E575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75DB" w:rsidRPr="002525D8" w:rsidRDefault="008773CF" w:rsidP="00045A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F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оложення проекту Закону </w:t>
      </w:r>
      <w:r w:rsidRPr="008773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встановл</w:t>
      </w:r>
      <w:r w:rsidRPr="008773C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8773C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аксимального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3C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місячного розміру оплати послуг членів наглядових рад (враховуючи заробітну плату, будь-які надбавки, премії, заохочувальні виплати, компенсацію витрат, пов’язаних з виконанням їхніх функцій)</w:t>
      </w:r>
      <w:r w:rsidR="0037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який не може </w:t>
      </w:r>
      <w:r w:rsidR="003741C5" w:rsidRPr="003741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перевищувати 50 прожиткових мінімумів, встановлених для працездатних осіб на 1 січня відповідного року</w:t>
      </w:r>
      <w:r w:rsidR="003741C5" w:rsidRPr="00C866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86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A10A3" w:rsidRPr="00C86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частково врахову</w:t>
      </w:r>
      <w:r w:rsidR="00600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ють</w:t>
      </w:r>
      <w:r w:rsidR="008F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6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F19D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ринцип</w:t>
      </w:r>
      <w:r w:rsidR="006001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525D8" w:rsidRPr="0025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ОЕСР</w:t>
      </w:r>
      <w:r w:rsidR="00DC35D7" w:rsidRPr="00DC35D7">
        <w:t xml:space="preserve"> </w:t>
      </w:r>
      <w:r w:rsidR="00DC35D7" w:rsidRPr="00DC35D7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корпоративного врядування на підприємствах державної форми власності</w:t>
      </w:r>
      <w:r w:rsidR="00DC3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редакції 2015 року) </w:t>
      </w:r>
      <w:r w:rsidR="00C866A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866AF">
        <w:rPr>
          <w:rFonts w:ascii="Times New Roman" w:eastAsia="Times New Roman" w:hAnsi="Times New Roman" w:cs="Times New Roman"/>
          <w:sz w:val="28"/>
          <w:szCs w:val="28"/>
          <w:lang w:eastAsia="ru-RU"/>
        </w:rPr>
        <w:t>п. 7 Анотації до Глави ІІ «Функція держави як власника»</w:t>
      </w:r>
      <w:r w:rsidR="00C866A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001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9D7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</w:t>
      </w:r>
      <w:r w:rsidR="00C866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F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5D8" w:rsidRPr="0025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передбачено, для підприємств державної форми власності, що мають переважно цілі господарського характеру та працюють </w:t>
      </w:r>
      <w:r w:rsidR="0025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конкурентному середовищі, необхідно, щоб рівні винагороди праці членів Наглядових рад </w:t>
      </w:r>
      <w:r w:rsidR="002525D8" w:rsidRPr="00C8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відображали </w:t>
      </w:r>
      <w:r w:rsidR="002525D8" w:rsidRPr="00C866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наявні ринкові умови з</w:t>
      </w:r>
      <w:r w:rsidR="0025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5D8" w:rsidRPr="00C866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метою залучати й утримувати</w:t>
      </w:r>
      <w:r w:rsidR="0025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посаді кваліфікованих членів Наглядової ради</w:t>
      </w:r>
      <w:r w:rsidR="008F19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58B1" w:rsidRPr="008773CF" w:rsidRDefault="00AF58B1" w:rsidP="00E575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4BD" w:rsidRPr="00E575DB" w:rsidRDefault="003741C5" w:rsidP="00356995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41C5">
        <w:rPr>
          <w:rFonts w:ascii="Times New Roman" w:hAnsi="Times New Roman" w:cs="Times New Roman"/>
          <w:sz w:val="28"/>
          <w:szCs w:val="28"/>
        </w:rPr>
        <w:t xml:space="preserve">З огляду на зазначене, проект Закону </w:t>
      </w:r>
      <w:r w:rsidRPr="007473DD">
        <w:rPr>
          <w:rFonts w:ascii="Times New Roman" w:hAnsi="Times New Roman" w:cs="Times New Roman"/>
          <w:b/>
          <w:sz w:val="28"/>
          <w:szCs w:val="28"/>
        </w:rPr>
        <w:t>не суперечить</w:t>
      </w:r>
      <w:r w:rsidRPr="003741C5">
        <w:rPr>
          <w:rFonts w:ascii="Times New Roman" w:hAnsi="Times New Roman" w:cs="Times New Roman"/>
          <w:sz w:val="28"/>
          <w:szCs w:val="28"/>
        </w:rPr>
        <w:t xml:space="preserve"> міжнародно-правовим зобов’язанням України в сфері європейської інтеграції</w:t>
      </w:r>
      <w:r w:rsidR="00C866AF">
        <w:rPr>
          <w:rFonts w:ascii="Times New Roman" w:hAnsi="Times New Roman" w:cs="Times New Roman"/>
          <w:sz w:val="28"/>
          <w:szCs w:val="28"/>
        </w:rPr>
        <w:t xml:space="preserve">, </w:t>
      </w:r>
      <w:r w:rsidR="00C866AF" w:rsidRPr="00C866AF">
        <w:rPr>
          <w:rFonts w:ascii="Times New Roman" w:hAnsi="Times New Roman" w:cs="Times New Roman"/>
          <w:b/>
          <w:sz w:val="28"/>
          <w:szCs w:val="28"/>
        </w:rPr>
        <w:t>але потребує доопрацювання</w:t>
      </w:r>
      <w:r w:rsidR="00C866AF">
        <w:rPr>
          <w:rFonts w:ascii="Times New Roman" w:hAnsi="Times New Roman" w:cs="Times New Roman"/>
          <w:sz w:val="28"/>
          <w:szCs w:val="28"/>
        </w:rPr>
        <w:t xml:space="preserve"> в частині </w:t>
      </w:r>
      <w:r w:rsidR="00E844FC" w:rsidRPr="00E844FC">
        <w:rPr>
          <w:rFonts w:ascii="Times New Roman" w:hAnsi="Times New Roman" w:cs="Times New Roman"/>
          <w:sz w:val="28"/>
          <w:szCs w:val="28"/>
        </w:rPr>
        <w:t>встановлення максимального місячного розміру оплати послуг членів наглядових рад</w:t>
      </w:r>
      <w:bookmarkStart w:id="0" w:name="_GoBack"/>
      <w:bookmarkEnd w:id="0"/>
      <w:r w:rsidR="00C866AF">
        <w:rPr>
          <w:rFonts w:ascii="Times New Roman" w:hAnsi="Times New Roman" w:cs="Times New Roman"/>
          <w:sz w:val="28"/>
          <w:szCs w:val="28"/>
        </w:rPr>
        <w:t xml:space="preserve"> </w:t>
      </w:r>
      <w:r w:rsidR="0060017B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C866AF">
        <w:rPr>
          <w:rFonts w:ascii="Times New Roman" w:hAnsi="Times New Roman" w:cs="Times New Roman"/>
          <w:sz w:val="28"/>
          <w:szCs w:val="28"/>
        </w:rPr>
        <w:t>Принцип</w:t>
      </w:r>
      <w:r w:rsidR="00E844FC">
        <w:rPr>
          <w:rFonts w:ascii="Times New Roman" w:hAnsi="Times New Roman" w:cs="Times New Roman"/>
          <w:sz w:val="28"/>
          <w:szCs w:val="28"/>
        </w:rPr>
        <w:t>ів</w:t>
      </w:r>
      <w:r w:rsidR="00C866AF">
        <w:rPr>
          <w:rFonts w:ascii="Times New Roman" w:hAnsi="Times New Roman" w:cs="Times New Roman"/>
          <w:sz w:val="28"/>
          <w:szCs w:val="28"/>
        </w:rPr>
        <w:t xml:space="preserve"> ОЕСР щодо </w:t>
      </w:r>
      <w:r w:rsidR="00C866AF" w:rsidRPr="00C866AF">
        <w:rPr>
          <w:rFonts w:ascii="Times New Roman" w:hAnsi="Times New Roman" w:cs="Times New Roman"/>
          <w:sz w:val="28"/>
          <w:szCs w:val="28"/>
        </w:rPr>
        <w:t>корпоративного врядування на підприємствах державної форми власності</w:t>
      </w:r>
      <w:r w:rsidR="00C866AF">
        <w:rPr>
          <w:rFonts w:ascii="Times New Roman" w:hAnsi="Times New Roman" w:cs="Times New Roman"/>
          <w:sz w:val="28"/>
          <w:szCs w:val="28"/>
        </w:rPr>
        <w:t>.</w:t>
      </w:r>
    </w:p>
    <w:p w:rsidR="003741C5" w:rsidRDefault="003741C5" w:rsidP="00356995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75C66" w:rsidRPr="00E575DB" w:rsidRDefault="00B75C66" w:rsidP="008D4F02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8"/>
        </w:rPr>
      </w:pPr>
    </w:p>
    <w:sectPr w:rsidR="00B75C66" w:rsidRPr="00E575DB" w:rsidSect="009B6357">
      <w:headerReference w:type="default" r:id="rId8"/>
      <w:headerReference w:type="first" r:id="rId9"/>
      <w:pgSz w:w="11906" w:h="16838"/>
      <w:pgMar w:top="426" w:right="850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C2C" w:rsidRDefault="00120C2C" w:rsidP="008A5974">
      <w:pPr>
        <w:spacing w:after="0" w:line="240" w:lineRule="auto"/>
      </w:pPr>
      <w:r>
        <w:separator/>
      </w:r>
    </w:p>
  </w:endnote>
  <w:endnote w:type="continuationSeparator" w:id="0">
    <w:p w:rsidR="00120C2C" w:rsidRDefault="00120C2C" w:rsidP="008A5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C2C" w:rsidRDefault="00120C2C" w:rsidP="008A5974">
      <w:pPr>
        <w:spacing w:after="0" w:line="240" w:lineRule="auto"/>
      </w:pPr>
      <w:r>
        <w:separator/>
      </w:r>
    </w:p>
  </w:footnote>
  <w:footnote w:type="continuationSeparator" w:id="0">
    <w:p w:rsidR="00120C2C" w:rsidRDefault="00120C2C" w:rsidP="008A5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2974805"/>
      <w:docPartObj>
        <w:docPartGallery w:val="Page Numbers (Top of Page)"/>
        <w:docPartUnique/>
      </w:docPartObj>
    </w:sdtPr>
    <w:sdtEndPr/>
    <w:sdtContent>
      <w:p w:rsidR="008A5974" w:rsidRDefault="008A597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F82">
          <w:rPr>
            <w:noProof/>
          </w:rPr>
          <w:t>4</w:t>
        </w:r>
        <w:r>
          <w:fldChar w:fldCharType="end"/>
        </w:r>
      </w:p>
    </w:sdtContent>
  </w:sdt>
  <w:p w:rsidR="008A5974" w:rsidRDefault="008A597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562" w:rsidRPr="004E0F28" w:rsidRDefault="00DC3562" w:rsidP="00DC3562">
    <w:pPr>
      <w:pStyle w:val="a4"/>
      <w:jc w:val="right"/>
      <w:rPr>
        <w:rFonts w:ascii="Times New Roman" w:hAnsi="Times New Roman" w:cs="Times New Roman"/>
        <w:b/>
        <w:color w:val="FF0000"/>
        <w:sz w:val="28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B265C"/>
    <w:multiLevelType w:val="hybridMultilevel"/>
    <w:tmpl w:val="33B4CE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224A9"/>
    <w:multiLevelType w:val="hybridMultilevel"/>
    <w:tmpl w:val="581CA774"/>
    <w:lvl w:ilvl="0" w:tplc="CA6413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1425FA0"/>
    <w:multiLevelType w:val="hybridMultilevel"/>
    <w:tmpl w:val="021681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561F3"/>
    <w:multiLevelType w:val="hybridMultilevel"/>
    <w:tmpl w:val="91F863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A22D3"/>
    <w:multiLevelType w:val="hybridMultilevel"/>
    <w:tmpl w:val="B9CC6C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3594F"/>
    <w:multiLevelType w:val="hybridMultilevel"/>
    <w:tmpl w:val="412A6E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68B"/>
    <w:rsid w:val="00016895"/>
    <w:rsid w:val="00034886"/>
    <w:rsid w:val="000350A4"/>
    <w:rsid w:val="000404FC"/>
    <w:rsid w:val="00042672"/>
    <w:rsid w:val="00045A57"/>
    <w:rsid w:val="0005024F"/>
    <w:rsid w:val="00072B0D"/>
    <w:rsid w:val="00090188"/>
    <w:rsid w:val="0009456C"/>
    <w:rsid w:val="000C2FCA"/>
    <w:rsid w:val="000C300B"/>
    <w:rsid w:val="000F4CFF"/>
    <w:rsid w:val="00105F68"/>
    <w:rsid w:val="0011284D"/>
    <w:rsid w:val="00120C2C"/>
    <w:rsid w:val="00125B17"/>
    <w:rsid w:val="0012685C"/>
    <w:rsid w:val="001420B5"/>
    <w:rsid w:val="00165313"/>
    <w:rsid w:val="00186931"/>
    <w:rsid w:val="001879F1"/>
    <w:rsid w:val="00194F82"/>
    <w:rsid w:val="00196CBA"/>
    <w:rsid w:val="001B1E02"/>
    <w:rsid w:val="001D201A"/>
    <w:rsid w:val="001D2E18"/>
    <w:rsid w:val="001D76B2"/>
    <w:rsid w:val="001E5D0B"/>
    <w:rsid w:val="001F6E5A"/>
    <w:rsid w:val="00206CB5"/>
    <w:rsid w:val="0022520C"/>
    <w:rsid w:val="002513DA"/>
    <w:rsid w:val="002525D8"/>
    <w:rsid w:val="00267C06"/>
    <w:rsid w:val="002844D8"/>
    <w:rsid w:val="00285458"/>
    <w:rsid w:val="00286886"/>
    <w:rsid w:val="00293717"/>
    <w:rsid w:val="00293F12"/>
    <w:rsid w:val="0029766D"/>
    <w:rsid w:val="002A6059"/>
    <w:rsid w:val="002B446C"/>
    <w:rsid w:val="003126AB"/>
    <w:rsid w:val="00325678"/>
    <w:rsid w:val="0034071F"/>
    <w:rsid w:val="003417C7"/>
    <w:rsid w:val="00356995"/>
    <w:rsid w:val="00372546"/>
    <w:rsid w:val="003741C5"/>
    <w:rsid w:val="00384409"/>
    <w:rsid w:val="003C1E68"/>
    <w:rsid w:val="003C45CB"/>
    <w:rsid w:val="003D5517"/>
    <w:rsid w:val="00402CFB"/>
    <w:rsid w:val="00410F0A"/>
    <w:rsid w:val="00416D33"/>
    <w:rsid w:val="004206E5"/>
    <w:rsid w:val="00422A07"/>
    <w:rsid w:val="00431C11"/>
    <w:rsid w:val="00433932"/>
    <w:rsid w:val="00435151"/>
    <w:rsid w:val="00451257"/>
    <w:rsid w:val="00490B8F"/>
    <w:rsid w:val="00494C5F"/>
    <w:rsid w:val="00496036"/>
    <w:rsid w:val="00497BA2"/>
    <w:rsid w:val="004A0A08"/>
    <w:rsid w:val="004A41FC"/>
    <w:rsid w:val="004B1B79"/>
    <w:rsid w:val="004D01D8"/>
    <w:rsid w:val="004D6071"/>
    <w:rsid w:val="004E0F28"/>
    <w:rsid w:val="004F5AE0"/>
    <w:rsid w:val="00511ADD"/>
    <w:rsid w:val="00524AFE"/>
    <w:rsid w:val="005438EA"/>
    <w:rsid w:val="00547EF0"/>
    <w:rsid w:val="00554E16"/>
    <w:rsid w:val="00567F82"/>
    <w:rsid w:val="00570D77"/>
    <w:rsid w:val="0057278A"/>
    <w:rsid w:val="00586CFC"/>
    <w:rsid w:val="005B0639"/>
    <w:rsid w:val="005B2BAB"/>
    <w:rsid w:val="005B68B1"/>
    <w:rsid w:val="005C03B2"/>
    <w:rsid w:val="005D27FB"/>
    <w:rsid w:val="005D2EE4"/>
    <w:rsid w:val="0060017B"/>
    <w:rsid w:val="00636F8F"/>
    <w:rsid w:val="00653AA5"/>
    <w:rsid w:val="0067680D"/>
    <w:rsid w:val="0069769A"/>
    <w:rsid w:val="006A10A3"/>
    <w:rsid w:val="006C2167"/>
    <w:rsid w:val="006C2B2F"/>
    <w:rsid w:val="006C4225"/>
    <w:rsid w:val="006D7C09"/>
    <w:rsid w:val="006F7145"/>
    <w:rsid w:val="007049A1"/>
    <w:rsid w:val="00710F6A"/>
    <w:rsid w:val="007228F7"/>
    <w:rsid w:val="00734556"/>
    <w:rsid w:val="00734ED3"/>
    <w:rsid w:val="007358FA"/>
    <w:rsid w:val="007473DD"/>
    <w:rsid w:val="00764E7A"/>
    <w:rsid w:val="00771477"/>
    <w:rsid w:val="00796CB2"/>
    <w:rsid w:val="007A3A08"/>
    <w:rsid w:val="007B14F8"/>
    <w:rsid w:val="007B6324"/>
    <w:rsid w:val="007D00D9"/>
    <w:rsid w:val="00803A4B"/>
    <w:rsid w:val="00814D5E"/>
    <w:rsid w:val="00853550"/>
    <w:rsid w:val="0085361C"/>
    <w:rsid w:val="008752B8"/>
    <w:rsid w:val="008773CF"/>
    <w:rsid w:val="008814BE"/>
    <w:rsid w:val="008827CB"/>
    <w:rsid w:val="00885926"/>
    <w:rsid w:val="00896EBE"/>
    <w:rsid w:val="008A5974"/>
    <w:rsid w:val="008B0FBE"/>
    <w:rsid w:val="008B4546"/>
    <w:rsid w:val="008D4F02"/>
    <w:rsid w:val="008D72CA"/>
    <w:rsid w:val="008F19D7"/>
    <w:rsid w:val="00911615"/>
    <w:rsid w:val="00920C62"/>
    <w:rsid w:val="00924188"/>
    <w:rsid w:val="00941198"/>
    <w:rsid w:val="0094324E"/>
    <w:rsid w:val="0098362C"/>
    <w:rsid w:val="00984BBE"/>
    <w:rsid w:val="009852A5"/>
    <w:rsid w:val="00995F48"/>
    <w:rsid w:val="009B06C9"/>
    <w:rsid w:val="009B6357"/>
    <w:rsid w:val="009C7921"/>
    <w:rsid w:val="00A0600B"/>
    <w:rsid w:val="00A16A98"/>
    <w:rsid w:val="00A2086C"/>
    <w:rsid w:val="00A258F1"/>
    <w:rsid w:val="00A3074E"/>
    <w:rsid w:val="00A45BEF"/>
    <w:rsid w:val="00A524E0"/>
    <w:rsid w:val="00A65EB1"/>
    <w:rsid w:val="00A73C29"/>
    <w:rsid w:val="00A95F1F"/>
    <w:rsid w:val="00AA6462"/>
    <w:rsid w:val="00AB3470"/>
    <w:rsid w:val="00AC0198"/>
    <w:rsid w:val="00AF565B"/>
    <w:rsid w:val="00AF58B1"/>
    <w:rsid w:val="00B23919"/>
    <w:rsid w:val="00B31C5C"/>
    <w:rsid w:val="00B454BD"/>
    <w:rsid w:val="00B46A8D"/>
    <w:rsid w:val="00B535F9"/>
    <w:rsid w:val="00B55D7E"/>
    <w:rsid w:val="00B60A86"/>
    <w:rsid w:val="00B633F7"/>
    <w:rsid w:val="00B6384B"/>
    <w:rsid w:val="00B71F50"/>
    <w:rsid w:val="00B75C66"/>
    <w:rsid w:val="00B86E61"/>
    <w:rsid w:val="00B87CF7"/>
    <w:rsid w:val="00B91FE6"/>
    <w:rsid w:val="00B96D39"/>
    <w:rsid w:val="00BA388A"/>
    <w:rsid w:val="00BB6CF7"/>
    <w:rsid w:val="00BC6A15"/>
    <w:rsid w:val="00BC6C96"/>
    <w:rsid w:val="00BC7F35"/>
    <w:rsid w:val="00BD5E97"/>
    <w:rsid w:val="00BE78E2"/>
    <w:rsid w:val="00C02AD1"/>
    <w:rsid w:val="00C07748"/>
    <w:rsid w:val="00C102E5"/>
    <w:rsid w:val="00C20112"/>
    <w:rsid w:val="00C7589D"/>
    <w:rsid w:val="00C819E2"/>
    <w:rsid w:val="00C866AF"/>
    <w:rsid w:val="00C932C3"/>
    <w:rsid w:val="00CA56D2"/>
    <w:rsid w:val="00CA71F6"/>
    <w:rsid w:val="00CC0119"/>
    <w:rsid w:val="00CC1CCB"/>
    <w:rsid w:val="00D11F8F"/>
    <w:rsid w:val="00D16651"/>
    <w:rsid w:val="00D22764"/>
    <w:rsid w:val="00D35788"/>
    <w:rsid w:val="00D4227F"/>
    <w:rsid w:val="00D474AD"/>
    <w:rsid w:val="00D74E14"/>
    <w:rsid w:val="00D862AD"/>
    <w:rsid w:val="00D864F4"/>
    <w:rsid w:val="00DC01DB"/>
    <w:rsid w:val="00DC0698"/>
    <w:rsid w:val="00DC3562"/>
    <w:rsid w:val="00DC35D7"/>
    <w:rsid w:val="00DE468F"/>
    <w:rsid w:val="00DF0B32"/>
    <w:rsid w:val="00E11FF0"/>
    <w:rsid w:val="00E15EF0"/>
    <w:rsid w:val="00E263CB"/>
    <w:rsid w:val="00E264F7"/>
    <w:rsid w:val="00E354E4"/>
    <w:rsid w:val="00E36F56"/>
    <w:rsid w:val="00E575DB"/>
    <w:rsid w:val="00E60689"/>
    <w:rsid w:val="00E72D79"/>
    <w:rsid w:val="00E844FC"/>
    <w:rsid w:val="00E96506"/>
    <w:rsid w:val="00EB020E"/>
    <w:rsid w:val="00EB08B9"/>
    <w:rsid w:val="00EE51C6"/>
    <w:rsid w:val="00F076B3"/>
    <w:rsid w:val="00F13D03"/>
    <w:rsid w:val="00F25E85"/>
    <w:rsid w:val="00F35686"/>
    <w:rsid w:val="00F556A3"/>
    <w:rsid w:val="00F627AD"/>
    <w:rsid w:val="00F65A2E"/>
    <w:rsid w:val="00F676FD"/>
    <w:rsid w:val="00F7069D"/>
    <w:rsid w:val="00F7668B"/>
    <w:rsid w:val="00F84676"/>
    <w:rsid w:val="00F90955"/>
    <w:rsid w:val="00F94EBE"/>
    <w:rsid w:val="00FD0583"/>
    <w:rsid w:val="00FD7DEA"/>
    <w:rsid w:val="00FE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E195E"/>
  <w15:chartTrackingRefBased/>
  <w15:docId w15:val="{68344BA7-B535-4EE4-AECF-5165F3CE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6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A59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8A5974"/>
  </w:style>
  <w:style w:type="paragraph" w:styleId="a6">
    <w:name w:val="footer"/>
    <w:basedOn w:val="a"/>
    <w:link w:val="a7"/>
    <w:uiPriority w:val="99"/>
    <w:unhideWhenUsed/>
    <w:rsid w:val="008A59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8A5974"/>
  </w:style>
  <w:style w:type="paragraph" w:styleId="a8">
    <w:name w:val="Balloon Text"/>
    <w:basedOn w:val="a"/>
    <w:link w:val="a9"/>
    <w:uiPriority w:val="99"/>
    <w:semiHidden/>
    <w:unhideWhenUsed/>
    <w:rsid w:val="00735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358FA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AF5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3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BFD12-A681-4E2E-9197-F153C2090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4</Pages>
  <Words>6196</Words>
  <Characters>3532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Шевчук Кирило Геннадійович</dc:creator>
  <cp:keywords/>
  <dc:description/>
  <cp:lastModifiedBy>Шевчук Кирило Геннадійович</cp:lastModifiedBy>
  <cp:revision>14</cp:revision>
  <cp:lastPrinted>2020-03-23T07:24:00Z</cp:lastPrinted>
  <dcterms:created xsi:type="dcterms:W3CDTF">2020-04-21T07:26:00Z</dcterms:created>
  <dcterms:modified xsi:type="dcterms:W3CDTF">2020-04-27T09:32:00Z</dcterms:modified>
</cp:coreProperties>
</file>