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53" w:rsidRDefault="00B01353" w:rsidP="00B01353">
      <w:pPr>
        <w:spacing w:after="60"/>
        <w:ind w:firstLine="567"/>
        <w:jc w:val="center"/>
        <w:rPr>
          <w:b/>
          <w:bCs/>
        </w:rPr>
      </w:pPr>
      <w:r>
        <w:rPr>
          <w:b/>
          <w:bCs/>
        </w:rPr>
        <w:t>ВИСНОВОК</w:t>
      </w:r>
    </w:p>
    <w:p w:rsidR="00B01353" w:rsidRDefault="00B01353" w:rsidP="00B01353">
      <w:pPr>
        <w:ind w:firstLine="567"/>
        <w:jc w:val="center"/>
        <w:rPr>
          <w:b/>
        </w:rPr>
      </w:pPr>
      <w:r>
        <w:rPr>
          <w:b/>
          <w:bCs/>
        </w:rPr>
        <w:t xml:space="preserve">Комітету Верховної Ради </w:t>
      </w:r>
      <w:r>
        <w:rPr>
          <w:b/>
        </w:rPr>
        <w:t>України з питань інтеграції України з Європейським Союзом</w:t>
      </w:r>
    </w:p>
    <w:p w:rsidR="00B01353" w:rsidRPr="00003D50" w:rsidRDefault="00B01353" w:rsidP="00003D5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03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щодо проекту Закону «</w:t>
      </w:r>
      <w:r w:rsidR="00003D50" w:rsidRPr="00003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 ветеринарну медицину та благополуччя тварин</w:t>
      </w:r>
      <w:r>
        <w:rPr>
          <w:b/>
        </w:rPr>
        <w:t>»</w:t>
      </w:r>
    </w:p>
    <w:p w:rsidR="00B01353" w:rsidRDefault="00B01353" w:rsidP="00B01353">
      <w:pPr>
        <w:jc w:val="center"/>
        <w:rPr>
          <w:b/>
        </w:rPr>
      </w:pPr>
      <w:r>
        <w:rPr>
          <w:b/>
          <w:bCs/>
        </w:rPr>
        <w:t>(</w:t>
      </w:r>
      <w:r w:rsidR="00003D50">
        <w:rPr>
          <w:b/>
          <w:bCs/>
        </w:rPr>
        <w:t>реєстр. № 3318 від 09.04</w:t>
      </w:r>
      <w:r>
        <w:rPr>
          <w:b/>
          <w:bCs/>
        </w:rPr>
        <w:t>.2020р., внесений народн</w:t>
      </w:r>
      <w:r w:rsidR="00003D50">
        <w:rPr>
          <w:b/>
          <w:bCs/>
        </w:rPr>
        <w:t xml:space="preserve">ими депутатами України С.М. </w:t>
      </w:r>
      <w:proofErr w:type="spellStart"/>
      <w:r w:rsidR="00003D50">
        <w:rPr>
          <w:b/>
          <w:bCs/>
        </w:rPr>
        <w:t>Чернявським</w:t>
      </w:r>
      <w:proofErr w:type="spellEnd"/>
      <w:r w:rsidR="00003D50">
        <w:rPr>
          <w:b/>
          <w:bCs/>
        </w:rPr>
        <w:t xml:space="preserve">, </w:t>
      </w:r>
      <w:proofErr w:type="spellStart"/>
      <w:r w:rsidR="00003D50">
        <w:rPr>
          <w:b/>
          <w:bCs/>
        </w:rPr>
        <w:t>А.О.Чорноморовим</w:t>
      </w:r>
      <w:proofErr w:type="spellEnd"/>
      <w:r w:rsidR="00003D50">
        <w:rPr>
          <w:b/>
          <w:bCs/>
        </w:rPr>
        <w:t xml:space="preserve"> та ін.</w:t>
      </w:r>
      <w:r>
        <w:rPr>
          <w:b/>
          <w:bCs/>
        </w:rPr>
        <w:t>)</w:t>
      </w:r>
    </w:p>
    <w:p w:rsidR="00B01353" w:rsidRDefault="00B01353" w:rsidP="00B01353">
      <w:pPr>
        <w:numPr>
          <w:ilvl w:val="0"/>
          <w:numId w:val="2"/>
        </w:numPr>
        <w:spacing w:before="120"/>
        <w:jc w:val="both"/>
      </w:pPr>
      <w:r>
        <w:rPr>
          <w:b/>
          <w:bCs/>
        </w:rPr>
        <w:t>Загальна характеристика законопроекту.</w:t>
      </w:r>
    </w:p>
    <w:p w:rsidR="007D5801" w:rsidRPr="005D3BC2" w:rsidRDefault="007D5801" w:rsidP="007D5801">
      <w:pPr>
        <w:spacing w:after="120"/>
        <w:ind w:firstLine="709"/>
        <w:jc w:val="both"/>
        <w:rPr>
          <w:lang w:eastAsia="ru-RU"/>
        </w:rPr>
      </w:pPr>
      <w:r w:rsidRPr="005D3BC2">
        <w:rPr>
          <w:lang w:eastAsia="ru-RU"/>
        </w:rPr>
        <w:t>Проект Закону розроблено з метою системного та комплексного регулювання суспільних відносин щодо</w:t>
      </w:r>
      <w:r w:rsidRPr="005D3BC2">
        <w:t xml:space="preserve"> </w:t>
      </w:r>
      <w:r w:rsidRPr="005D3BC2">
        <w:rPr>
          <w:lang w:eastAsia="ru-RU"/>
        </w:rPr>
        <w:t>захисту здоров’я та забезпечення благополуччя тварин, ветеринарної практики, виробництва, обігу та застосування ветеринарних препаратів</w:t>
      </w:r>
      <w:r>
        <w:rPr>
          <w:lang w:eastAsia="ru-RU"/>
        </w:rPr>
        <w:t>. Законопроектом пропонується врегулювати такі</w:t>
      </w:r>
      <w:r w:rsidRPr="005D3BC2">
        <w:rPr>
          <w:lang w:eastAsia="ru-RU"/>
        </w:rPr>
        <w:t xml:space="preserve"> питання</w:t>
      </w:r>
      <w:r>
        <w:rPr>
          <w:lang w:eastAsia="ru-RU"/>
        </w:rPr>
        <w:t xml:space="preserve"> як</w:t>
      </w:r>
      <w:r w:rsidRPr="005D3BC2">
        <w:rPr>
          <w:lang w:eastAsia="ru-RU"/>
        </w:rPr>
        <w:t>:</w:t>
      </w:r>
    </w:p>
    <w:p w:rsidR="007D5801" w:rsidRPr="005D3BC2" w:rsidRDefault="007D5801" w:rsidP="007D580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захист</w:t>
      </w:r>
      <w:r w:rsidRPr="005D3BC2">
        <w:rPr>
          <w:rFonts w:ascii="Times New Roman" w:hAnsi="Times New Roman"/>
          <w:sz w:val="28"/>
          <w:szCs w:val="28"/>
          <w:lang w:eastAsia="ru-RU"/>
        </w:rPr>
        <w:t xml:space="preserve"> здоров’я та забезпечення благополуччя тварин;</w:t>
      </w:r>
    </w:p>
    <w:p w:rsidR="007D5801" w:rsidRPr="005D3BC2" w:rsidRDefault="007D5801" w:rsidP="007D580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C2">
        <w:rPr>
          <w:rFonts w:ascii="Times New Roman" w:hAnsi="Times New Roman"/>
          <w:sz w:val="28"/>
          <w:szCs w:val="28"/>
          <w:lang w:eastAsia="ru-RU"/>
        </w:rPr>
        <w:t>здійснення карантинних заходів;</w:t>
      </w:r>
    </w:p>
    <w:p w:rsidR="007D5801" w:rsidRPr="005D3BC2" w:rsidRDefault="007D5801" w:rsidP="007D580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C2">
        <w:rPr>
          <w:rFonts w:ascii="Times New Roman" w:hAnsi="Times New Roman"/>
          <w:sz w:val="28"/>
          <w:szCs w:val="28"/>
          <w:lang w:eastAsia="ru-RU"/>
        </w:rPr>
        <w:t>ветеринарн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5D3BC2">
        <w:rPr>
          <w:rFonts w:ascii="Times New Roman" w:hAnsi="Times New Roman"/>
          <w:sz w:val="28"/>
          <w:szCs w:val="28"/>
          <w:lang w:eastAsia="ru-RU"/>
        </w:rPr>
        <w:t>практик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3BC2">
        <w:rPr>
          <w:rFonts w:ascii="Times New Roman" w:hAnsi="Times New Roman"/>
          <w:sz w:val="28"/>
          <w:szCs w:val="28"/>
          <w:lang w:eastAsia="ru-RU"/>
        </w:rPr>
        <w:t>;</w:t>
      </w:r>
    </w:p>
    <w:p w:rsidR="007D5801" w:rsidRPr="005D3BC2" w:rsidRDefault="007D5801" w:rsidP="007D580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C2">
        <w:rPr>
          <w:rFonts w:ascii="Times New Roman" w:hAnsi="Times New Roman"/>
          <w:sz w:val="28"/>
          <w:szCs w:val="28"/>
          <w:lang w:eastAsia="ru-RU"/>
        </w:rPr>
        <w:t>виробництв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D3BC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обіг</w:t>
      </w:r>
      <w:r w:rsidRPr="005D3BC2">
        <w:rPr>
          <w:rFonts w:ascii="Times New Roman" w:hAnsi="Times New Roman"/>
          <w:sz w:val="28"/>
          <w:szCs w:val="28"/>
          <w:lang w:eastAsia="ru-RU"/>
        </w:rPr>
        <w:t xml:space="preserve"> і застосування ветеринарних препаратів;</w:t>
      </w:r>
    </w:p>
    <w:p w:rsidR="007D5801" w:rsidRPr="005D3BC2" w:rsidRDefault="007D5801" w:rsidP="007D5801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BC2">
        <w:rPr>
          <w:rFonts w:ascii="Times New Roman" w:hAnsi="Times New Roman"/>
          <w:sz w:val="28"/>
          <w:szCs w:val="28"/>
          <w:lang w:eastAsia="ru-RU"/>
        </w:rPr>
        <w:t>організаці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D3BC2">
        <w:rPr>
          <w:rFonts w:ascii="Times New Roman" w:hAnsi="Times New Roman"/>
          <w:sz w:val="28"/>
          <w:szCs w:val="28"/>
          <w:lang w:eastAsia="ru-RU"/>
        </w:rPr>
        <w:t xml:space="preserve"> державного управління, освіт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3BC2">
        <w:rPr>
          <w:rFonts w:ascii="Times New Roman" w:hAnsi="Times New Roman"/>
          <w:sz w:val="28"/>
          <w:szCs w:val="28"/>
          <w:lang w:eastAsia="ru-RU"/>
        </w:rPr>
        <w:t xml:space="preserve"> та наук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3BC2">
        <w:rPr>
          <w:rFonts w:ascii="Times New Roman" w:hAnsi="Times New Roman"/>
          <w:sz w:val="28"/>
          <w:szCs w:val="28"/>
          <w:lang w:eastAsia="ru-RU"/>
        </w:rPr>
        <w:t xml:space="preserve"> у сфері ветеринарної медицини.</w:t>
      </w:r>
    </w:p>
    <w:p w:rsidR="00B01353" w:rsidRDefault="00B01353" w:rsidP="00B01353">
      <w:pPr>
        <w:ind w:firstLine="708"/>
        <w:jc w:val="both"/>
        <w:rPr>
          <w:rFonts w:eastAsia="Verdana"/>
          <w:b/>
        </w:rPr>
      </w:pPr>
    </w:p>
    <w:p w:rsidR="00B01353" w:rsidRDefault="00B01353" w:rsidP="00B01353">
      <w:pPr>
        <w:spacing w:before="120"/>
        <w:ind w:firstLine="567"/>
        <w:jc w:val="both"/>
        <w:rPr>
          <w:bCs/>
        </w:rPr>
      </w:pPr>
      <w:r>
        <w:rPr>
          <w:rFonts w:eastAsia="Verdana"/>
          <w:b/>
        </w:rPr>
        <w:t xml:space="preserve">2. </w:t>
      </w:r>
      <w:r>
        <w:rPr>
          <w:b/>
        </w:rPr>
        <w:t>Належність законопроекту за предметом правового регулювання до сфери дії права Європейського Союзу та Ради Європи.</w:t>
      </w:r>
    </w:p>
    <w:p w:rsidR="00B01353" w:rsidRDefault="00B01353" w:rsidP="00B01353">
      <w:pPr>
        <w:pStyle w:val="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01353" w:rsidRDefault="00B01353" w:rsidP="00B01353">
      <w:pPr>
        <w:pStyle w:val="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Правовідносини, що належать до сфери правового регулювання законопроекту регулюються наступними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acquis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ЄС:</w:t>
      </w:r>
    </w:p>
    <w:p w:rsidR="00B01353" w:rsidRDefault="00B01353" w:rsidP="00FB4BF0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від 27.06.2014 р. (далі - Угода про асоціацію);</w:t>
      </w:r>
    </w:p>
    <w:p w:rsidR="007D5801" w:rsidRDefault="00FB4BF0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Регламентом</w:t>
      </w:r>
      <w:r w:rsidR="007D5801">
        <w:rPr>
          <w:color w:val="auto"/>
          <w:sz w:val="28"/>
          <w:szCs w:val="28"/>
        </w:rPr>
        <w:t xml:space="preserve"> (ЄС) 2016/429 Європейського Парламенту та Ради від 09.03.2016 року </w:t>
      </w:r>
      <w:r>
        <w:rPr>
          <w:color w:val="auto"/>
          <w:sz w:val="28"/>
          <w:szCs w:val="28"/>
        </w:rPr>
        <w:t xml:space="preserve">«Про </w:t>
      </w:r>
      <w:r w:rsidR="007D5801">
        <w:rPr>
          <w:color w:val="auto"/>
          <w:sz w:val="28"/>
          <w:szCs w:val="28"/>
        </w:rPr>
        <w:t>трансмісивні захворювання тварин та внесення змін та скасування певних дій у галузі охорони здоров'я тварин (“Закон про охорону тварин”)</w:t>
      </w:r>
      <w:r>
        <w:rPr>
          <w:color w:val="auto"/>
          <w:sz w:val="28"/>
          <w:szCs w:val="28"/>
        </w:rPr>
        <w:t>»</w:t>
      </w:r>
      <w:r w:rsidR="007D5801">
        <w:rPr>
          <w:color w:val="auto"/>
          <w:sz w:val="28"/>
          <w:szCs w:val="28"/>
        </w:rPr>
        <w:t xml:space="preserve"> (далі - Регламент (ЄС) 2019/6); 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(ЄС) 2019/6 Європейського Парламенту та Ради від 11.12.2018 року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>ветеринарні лікарські засоби та скасування Директиви 2001/82 / ЄС</w:t>
      </w:r>
      <w:r w:rsidR="00FB4B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(далі - Регламент (ЄС) 2019/6); 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 xml:space="preserve">ом </w:t>
      </w:r>
      <w:r>
        <w:rPr>
          <w:color w:val="auto"/>
          <w:sz w:val="28"/>
          <w:szCs w:val="28"/>
        </w:rPr>
        <w:t xml:space="preserve">(ЄС) 2019/4 Європейського Парламенту та Ради від 11.12.2018 року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>виробництво, випуск на ринок та використання медикаментозних кормів про внесення змін до Регламенту (ЄС) № 183/2005 Європейського Парламенту та Ради та про скасування Директиви Ради 90/167 / ЄЕС</w:t>
      </w:r>
      <w:r w:rsidR="00FB4B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(далі - Регламент (ЄС) 2019/4); 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(ЄС) 2017/625 Європейського Парламенту та Ради від 15 березня 2017 року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 xml:space="preserve">офіційний контроль та інші офіційні заходи, що здійснюються з метою забезпечення застосування законодавства про </w:t>
      </w:r>
      <w:r>
        <w:rPr>
          <w:color w:val="auto"/>
          <w:sz w:val="28"/>
          <w:szCs w:val="28"/>
        </w:rPr>
        <w:lastRenderedPageBreak/>
        <w:t>харчові продукти та корми, правил щодо охорон</w:t>
      </w:r>
      <w:r w:rsidR="000729A4">
        <w:rPr>
          <w:color w:val="auto"/>
          <w:sz w:val="28"/>
          <w:szCs w:val="28"/>
        </w:rPr>
        <w:t xml:space="preserve">и здоров'я та добробуту тварин </w:t>
      </w:r>
      <w:r>
        <w:rPr>
          <w:color w:val="auto"/>
          <w:sz w:val="28"/>
          <w:szCs w:val="28"/>
        </w:rPr>
        <w:t xml:space="preserve">та засобів захисту рослин, що вносять зміни до Регламентів (ЄС) № 999/2001, (ЄС) № 396/2005, (ЄС) № 1069/2009, (ЄС) № 1107/2009, (ЄС) № 1151/2012, (ЄС) № 652/2014, (ЄС) 2016/429 та (ЄС) 2016/2031 Європейського </w:t>
      </w:r>
      <w:r w:rsidR="00FB4BF0">
        <w:rPr>
          <w:color w:val="auto"/>
          <w:sz w:val="28"/>
          <w:szCs w:val="28"/>
        </w:rPr>
        <w:t xml:space="preserve">Парламенту </w:t>
      </w:r>
      <w:r>
        <w:rPr>
          <w:color w:val="auto"/>
          <w:sz w:val="28"/>
          <w:szCs w:val="28"/>
        </w:rPr>
        <w:t>та Ради, Регламенти Ради (ЄС) № 1/2005 та (ЄС) № 1099/2009 та Директиви Ради 98/58/ЄС, 1999/74/ЄС, 2007/43/ЄС, 2008/119 / ЄС та 2008/120/ЄС та скасування Регламентів (ЄС) № 854/2004 та (ЄС) № 882/2004 Європейського Парламенту та Ради, Директиви Ради 89/608/ЄЕС, 89/662/ЄЕС, 90/425/ЄЕС , 91/496/ЄЕС, 96/2 /ЄС, 96/93/ЄС та 97/78/ЄС та Рішення Ради 92/438/ЄЕС (Регламент офіційного контролю)</w:t>
      </w:r>
      <w:r w:rsidR="00FB4B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(далі – Регламент (ЄС) 2017/625); </w:t>
      </w:r>
    </w:p>
    <w:p w:rsidR="00A64B5E" w:rsidRDefault="007D5801" w:rsidP="00A64B5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Директив</w:t>
      </w:r>
      <w:r w:rsidR="00FB4BF0">
        <w:rPr>
          <w:color w:val="auto"/>
          <w:sz w:val="28"/>
          <w:szCs w:val="28"/>
        </w:rPr>
        <w:t>ою</w:t>
      </w:r>
      <w:r>
        <w:rPr>
          <w:color w:val="auto"/>
          <w:sz w:val="28"/>
          <w:szCs w:val="28"/>
        </w:rPr>
        <w:t xml:space="preserve"> Ради 98/58/ЄС від 20 липня 1998 р.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>захист тварин, що утримуються для ведення сільського господарства</w:t>
      </w:r>
      <w:r w:rsidR="00FB4B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(далі – Директива Ради 98/58); </w:t>
      </w:r>
    </w:p>
    <w:p w:rsidR="00A64B5E" w:rsidRPr="00A64B5E" w:rsidRDefault="00A64B5E" w:rsidP="00A64B5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64B5E">
        <w:rPr>
          <w:color w:val="auto"/>
          <w:sz w:val="28"/>
          <w:szCs w:val="28"/>
        </w:rPr>
        <w:t>Директив</w:t>
      </w:r>
      <w:r>
        <w:rPr>
          <w:color w:val="auto"/>
          <w:sz w:val="28"/>
          <w:szCs w:val="28"/>
        </w:rPr>
        <w:t>ою</w:t>
      </w:r>
      <w:r w:rsidRPr="00A64B5E">
        <w:rPr>
          <w:color w:val="auto"/>
          <w:sz w:val="28"/>
          <w:szCs w:val="28"/>
        </w:rPr>
        <w:t xml:space="preserve"> Ради від 21 грудня 1982 року щодо нотифікації випадків </w:t>
      </w:r>
      <w:proofErr w:type="spellStart"/>
      <w:r w:rsidRPr="00A64B5E">
        <w:rPr>
          <w:color w:val="auto"/>
          <w:sz w:val="28"/>
          <w:szCs w:val="28"/>
        </w:rPr>
        <w:t>хвороб</w:t>
      </w:r>
      <w:proofErr w:type="spellEnd"/>
      <w:r w:rsidRPr="00A64B5E">
        <w:rPr>
          <w:color w:val="auto"/>
          <w:sz w:val="28"/>
          <w:szCs w:val="28"/>
        </w:rPr>
        <w:t xml:space="preserve"> серед тварин у межах Співтовариства (82/894/EEC)</w:t>
      </w:r>
      <w:r>
        <w:rPr>
          <w:color w:val="auto"/>
          <w:sz w:val="28"/>
          <w:szCs w:val="28"/>
        </w:rPr>
        <w:t>;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Ради (ЄС) № 1/2005 від 22.12.2004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>захист тварин під час транспорту та пов'язаних з ним операцій та внесення змін до Директив 64/432/ЄЕС та 93/119 / ЄС та Регламенту (ЄС) № 1255/97</w:t>
      </w:r>
      <w:r w:rsidR="00FB4B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(далі – Регламент № 1/2005); 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Ради (ЄС) № 1099/2009 від 24 вересня 2009 року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>захист тварин під час вбивства</w:t>
      </w:r>
      <w:r w:rsidR="00FB4B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(далі – Регламент № 1099/2009); </w:t>
      </w:r>
    </w:p>
    <w:p w:rsidR="007D5801" w:rsidRPr="000D3937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Ради (ЄС) №1069/2009 Європейського Парламенту та Ради від 21 жовтня 2009 року </w:t>
      </w:r>
      <w:r w:rsidR="00FB4BF0">
        <w:rPr>
          <w:color w:val="auto"/>
          <w:sz w:val="28"/>
          <w:szCs w:val="28"/>
        </w:rPr>
        <w:t xml:space="preserve">«Про </w:t>
      </w:r>
      <w:r>
        <w:rPr>
          <w:color w:val="auto"/>
          <w:sz w:val="28"/>
          <w:szCs w:val="28"/>
        </w:rPr>
        <w:t>встановлення правил охорони здоров'я</w:t>
      </w:r>
      <w:r w:rsidR="00FB4BF0" w:rsidRPr="00FB4BF0">
        <w:rPr>
          <w:color w:val="auto"/>
          <w:sz w:val="28"/>
          <w:szCs w:val="28"/>
        </w:rPr>
        <w:t xml:space="preserve"> </w:t>
      </w:r>
      <w:r w:rsidR="00FB4BF0">
        <w:rPr>
          <w:color w:val="auto"/>
          <w:sz w:val="28"/>
          <w:szCs w:val="28"/>
        </w:rPr>
        <w:t xml:space="preserve"> щодо побічних продуктів тваринного походження та похідних продуктів, не призначених для споживання людиною, та скасування Регламенту (ЄС) № 1774/2002 (Регламент щодо побічних продуктів тварин)</w:t>
      </w:r>
      <w:r w:rsidR="00250F59">
        <w:rPr>
          <w:color w:val="auto"/>
          <w:sz w:val="28"/>
          <w:szCs w:val="28"/>
        </w:rPr>
        <w:t>»</w:t>
      </w:r>
      <w:r w:rsidR="00FB4BF0">
        <w:rPr>
          <w:color w:val="auto"/>
          <w:sz w:val="28"/>
          <w:szCs w:val="28"/>
        </w:rPr>
        <w:t xml:space="preserve"> (далі – Регламент №1069/2009);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Ради (ЄС) №528/2012 Європейського Парламенту та Ради від 22 травня 2012 року щодо забезпечення доступності на ринку та використання біоцидів (далі - Регламент №528/2012); 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про впровадження Комісії (ЄС) 2019/2130 від 25.11.2019 року </w:t>
      </w:r>
      <w:r w:rsidR="00250F59">
        <w:rPr>
          <w:color w:val="auto"/>
          <w:sz w:val="28"/>
          <w:szCs w:val="28"/>
        </w:rPr>
        <w:t xml:space="preserve">щодо </w:t>
      </w:r>
      <w:r>
        <w:rPr>
          <w:color w:val="auto"/>
          <w:sz w:val="28"/>
          <w:szCs w:val="28"/>
        </w:rPr>
        <w:t xml:space="preserve">встановлення детальних правил </w:t>
      </w:r>
      <w:r w:rsidR="00250F59">
        <w:rPr>
          <w:color w:val="auto"/>
          <w:sz w:val="28"/>
          <w:szCs w:val="28"/>
        </w:rPr>
        <w:t>стосовно</w:t>
      </w:r>
      <w:r>
        <w:rPr>
          <w:color w:val="auto"/>
          <w:sz w:val="28"/>
          <w:szCs w:val="28"/>
        </w:rPr>
        <w:t xml:space="preserve"> операцій, які слід проводити під час та після документальних перевірок, перевірок посвідчення особи та фізичних перевірок на тварин і товарів, що підлягають офіційному контролю на прикордонних контрольних постах (Регламент 2019/2130); </w:t>
      </w:r>
    </w:p>
    <w:p w:rsidR="007D5801" w:rsidRDefault="007D5801" w:rsidP="00FB4BF0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</w:t>
      </w:r>
      <w:r w:rsidR="00FB4BF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(ЄС) № 999/2001 Європейського Парламенту та Ради від 22 травня 2001 р., що встановлює правила запобігання, контролю та викорінення деяких трансмісивних </w:t>
      </w:r>
      <w:proofErr w:type="spellStart"/>
      <w:r>
        <w:rPr>
          <w:color w:val="auto"/>
          <w:sz w:val="28"/>
          <w:szCs w:val="28"/>
        </w:rPr>
        <w:t>губкоподібних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енцефалопатій</w:t>
      </w:r>
      <w:proofErr w:type="spellEnd"/>
      <w:r>
        <w:rPr>
          <w:color w:val="auto"/>
          <w:sz w:val="28"/>
          <w:szCs w:val="28"/>
        </w:rPr>
        <w:t xml:space="preserve"> (далі – Регламент (ЄС) № 999/2001). </w:t>
      </w:r>
    </w:p>
    <w:p w:rsidR="00B01353" w:rsidRDefault="00B01353" w:rsidP="00B01353">
      <w:pPr>
        <w:tabs>
          <w:tab w:val="left" w:pos="1200"/>
        </w:tabs>
        <w:ind w:left="1080"/>
        <w:jc w:val="both"/>
        <w:rPr>
          <w:bCs/>
          <w:iCs/>
          <w:sz w:val="26"/>
          <w:szCs w:val="26"/>
        </w:rPr>
      </w:pPr>
    </w:p>
    <w:p w:rsidR="00B01353" w:rsidRDefault="00B01353" w:rsidP="00B01353">
      <w:pPr>
        <w:spacing w:before="120"/>
        <w:ind w:firstLine="567"/>
        <w:jc w:val="both"/>
      </w:pPr>
      <w:r>
        <w:rPr>
          <w:rFonts w:eastAsia="Verdana"/>
          <w:b/>
          <w:bCs/>
        </w:rPr>
        <w:t xml:space="preserve">3. </w:t>
      </w:r>
      <w:r>
        <w:rPr>
          <w:b/>
        </w:rPr>
        <w:t>Відповідність законопроекту праву ЄС та зобов’язанням України в рамках Ради Європи.</w:t>
      </w:r>
    </w:p>
    <w:p w:rsidR="00166B5E" w:rsidRDefault="00B01353" w:rsidP="00166B5E">
      <w:pPr>
        <w:spacing w:line="240" w:lineRule="atLeast"/>
        <w:jc w:val="both"/>
      </w:pPr>
      <w:r>
        <w:lastRenderedPageBreak/>
        <w:tab/>
      </w:r>
      <w:r w:rsidR="007D5801" w:rsidRPr="00166B5E">
        <w:t xml:space="preserve">Проект Закону охоплюється міжнародно-правовими зобов’язаннями України, </w:t>
      </w:r>
      <w:r w:rsidR="00250F59" w:rsidRPr="00166B5E">
        <w:t>закріпленими в</w:t>
      </w:r>
      <w:r w:rsidR="007D5801" w:rsidRPr="00166B5E">
        <w:t xml:space="preserve"> </w:t>
      </w:r>
      <w:r w:rsidR="00250F59" w:rsidRPr="00166B5E">
        <w:t xml:space="preserve">Угоді про асоціацію між Україною та Європейським Союзом, а саме в Главі 4 Угоди, яка регулює питання “Санітарних та </w:t>
      </w:r>
      <w:proofErr w:type="spellStart"/>
      <w:r w:rsidR="00250F59" w:rsidRPr="00166B5E">
        <w:t>фітосанітарних</w:t>
      </w:r>
      <w:proofErr w:type="spellEnd"/>
      <w:r w:rsidR="00250F59" w:rsidRPr="00166B5E">
        <w:t xml:space="preserve"> заходів”. </w:t>
      </w:r>
    </w:p>
    <w:p w:rsidR="00166B5E" w:rsidRDefault="00250F59" w:rsidP="00166B5E">
      <w:pPr>
        <w:spacing w:line="240" w:lineRule="atLeast"/>
        <w:ind w:firstLine="708"/>
        <w:jc w:val="both"/>
      </w:pPr>
      <w:r w:rsidRPr="00166B5E">
        <w:t xml:space="preserve">За результатами порівняльно-правового аналізу слід зазначити, </w:t>
      </w:r>
      <w:r w:rsidRPr="00166B5E">
        <w:rPr>
          <w:b/>
        </w:rPr>
        <w:t>що в цілому проект Закону відповідає актам права ЄС, а саме в частині визначення</w:t>
      </w:r>
      <w:r w:rsidRPr="00166B5E">
        <w:t xml:space="preserve"> понятійного апарату: аквакультури (пункт 6 статті 4 Регламенту (ЄС) 2016/429), балансу “ризик-користь” (пункт 19 статті 4 Регламенту (ЄС) 2019/6), біологічної безпеки (пункт 23 статті 4 Регламенту (ЄС) 2016/429), біоцидів ( </w:t>
      </w:r>
      <w:proofErr w:type="spellStart"/>
      <w:r w:rsidRPr="00166B5E">
        <w:t>біоцидні</w:t>
      </w:r>
      <w:proofErr w:type="spellEnd"/>
      <w:r w:rsidRPr="00166B5E">
        <w:t xml:space="preserve"> продукти) (пункт а статті 3 (1) Регламенту Ради (ЄС) № 528/2012), ветеринарного лікарського засобу (пункт 1 статті 4 Регламенту (ЄС) 2019/6), ветеринарного фармакологічного нагляду (стаття 4 Регламенту (ЄС) 2019/6), вторинного пакування ветеринарного лікарського засобу (пункт 26 статті 4 Регламенту (ЄС) 2019/6), водних тварини (</w:t>
      </w:r>
      <w:proofErr w:type="spellStart"/>
      <w:r w:rsidRPr="00166B5E">
        <w:t>гідробіонти</w:t>
      </w:r>
      <w:proofErr w:type="spellEnd"/>
      <w:r w:rsidRPr="00166B5E">
        <w:t xml:space="preserve">) (стаття 4 Регламенту (ЄС) 2016/42), гомеопатичного ветеринарного лікарського засобу (стаття 4 Регламенту (ЄС) 2019/6), диких тварини (пункт 8 статті 4 Регламенту (ЄС) 2016/429), діючих речовин (стаття 4 Регламенту (ЄС) 2019/6), </w:t>
      </w:r>
      <w:proofErr w:type="spellStart"/>
      <w:r w:rsidRPr="00166B5E">
        <w:t>доклінічних</w:t>
      </w:r>
      <w:proofErr w:type="spellEnd"/>
      <w:r w:rsidRPr="00166B5E">
        <w:t xml:space="preserve"> досліджень (випробування) (стаття 4 Регламенту (ЄС) 2019/6), домашніх тварини (Додаток 1 Регламенту (ЄС) 2016/429), допоміжної речовини ( </w:t>
      </w:r>
      <w:proofErr w:type="spellStart"/>
      <w:r w:rsidRPr="00166B5E">
        <w:t>ексципієнт</w:t>
      </w:r>
      <w:proofErr w:type="spellEnd"/>
      <w:r w:rsidRPr="00166B5E">
        <w:t xml:space="preserve"> ) (стаття 4 Регламенту (ЄС) 2019/6), епізоотичної одиниці (пункт 39 статті 4 Регламенту (ЄС) 2016/429), закритих </w:t>
      </w:r>
      <w:proofErr w:type="spellStart"/>
      <w:r w:rsidRPr="00166B5E">
        <w:t>потужностей</w:t>
      </w:r>
      <w:proofErr w:type="spellEnd"/>
      <w:r w:rsidRPr="00166B5E">
        <w:t xml:space="preserve"> (пункт 48, статті 4 Регламенту (ЄС) 2016/429), збудника хвороби (пункт 17 статті 4 Регламенту (ЄС) 2016/429), зони захисту (пункт 42 стаття 4 Регламенту (ЄС) 2016/429), зони спостереження (пункт 43 статті 4 Регламенту (ЄС) 2016/429), імунобіологічного ветеринарного лікарського засобу (стаття 4 (ЄС) 2019/6), інкубаційних яєць (пункт 44 статті 4 Регламенту (ЄС) 2016/429), інкубаторію (інкубаційний цех) (пункт 47 статті 4 Регламенту (ЄС) 2016/429), клінічних досліджень (випробування) (стаття 4 Регламенту (ЄС) 2016/429), </w:t>
      </w:r>
      <w:proofErr w:type="spellStart"/>
      <w:r w:rsidRPr="00166B5E">
        <w:t>компартменту</w:t>
      </w:r>
      <w:proofErr w:type="spellEnd"/>
      <w:r w:rsidRPr="00166B5E">
        <w:t xml:space="preserve"> (пункт 37 статті 4 Регламенту (ЄС) 2016/429), компетентного органу (пункт 55 статті 4 Регламенту (ЄС) 2016/429 та </w:t>
      </w:r>
      <w:proofErr w:type="spellStart"/>
      <w:r w:rsidRPr="00166B5E">
        <w:t>пунтку</w:t>
      </w:r>
      <w:proofErr w:type="spellEnd"/>
      <w:r w:rsidRPr="00166B5E">
        <w:t xml:space="preserve"> 23 статті 4 Регламенту (ЄС) 2019/6), концентрації (пункт 22 статті 4 Регламенту (ЄС) 2019/6), листівки-вкладки (інструкція по застосуванню) (пункт 27 статті 4 Регламенту (ЄС) 2019/6), лікувального корму (пункт а статті 3 (2) Регламенту (ЄС) 2019/4), маркування (пункт 24 статті 4 Регламенту (ЄС) 2019/6), </w:t>
      </w:r>
      <w:proofErr w:type="spellStart"/>
      <w:r w:rsidRPr="00166B5E">
        <w:t>метафілактики</w:t>
      </w:r>
      <w:proofErr w:type="spellEnd"/>
      <w:r w:rsidRPr="00166B5E">
        <w:t xml:space="preserve"> (пункт 15 статті 4 Регламенту (ЄС) 2019/6), Національної установи України з ветеринарних препаратів (Європейське агентство з лікарських засобів, створене Регламентом (ЄС) № 726/2004 (“Агентство”), неблагополучного пункту (пункт 40, статті 4 Регламенту (ЄС) 2016/429), некомерційного переміщення домашніх тварин (пункт 14, статті 4 Регламенту (ЄС) 2016/429), опису корпоративної системи фармакологічного нагляду (пункт 31 статті 4, Регламенту (ЄС) 2019/6), первинного пакування ветеринарного лікарського засобу (пункт 25 статті 4 Регламенту (ЄС) 2019/6), періоду виведення (очікування) (пункт 34 статті 4 Регламенту (ЄС) 2019/6), проміжного продукту для виробництва лікувальних кормів (пункт b, статті 3 Регламенту (ЄС) 2019/4), профілактики (пункт 26 статті 4 Регламенту (ЄС) 2019/6), процесу управління сигналами (пункт 41 статті 4, Регламенту (ЄС) 2019/6), птахів, що утримується в умовах неволі (пункт 10 статті 4 Регламенту (ЄС) 2016/429), репродуктивного </w:t>
      </w:r>
      <w:r w:rsidRPr="00166B5E">
        <w:lastRenderedPageBreak/>
        <w:t xml:space="preserve">матеріалу (пункт 28 статті 4 Регламенту (ЄС) 2019/6), референтного ветеринарного лікарського засобу (ветеринарний препарат) (пункт 8 статті 4 Регламенту (ЄС) 2019/6), рецепту (ветеринарний рецепт) (пункт 33 статті 4 Регламенту (ЄС) 2019/6), ризику (пункт 22, статті 4, Регламенту (ЄС) 2016/429), свійської птиці (стаття 4, пункт 9, Регламенту (ЄС) 2016/429), спалаху хвороби (стаття 4, пункт 40, Регламенту (ЄС) 2016/429), субстанції (пункт 2 статті 4 Регламенту (ЄС) 2019/6), тварин (пункт 1 статті 4 Регламенту (ЄС) 2016/429), тварин аквакультури (пункт 7 стаття 4 Регламенту (ЄС) 2016/429), </w:t>
      </w:r>
      <w:proofErr w:type="spellStart"/>
      <w:r w:rsidRPr="00166B5E">
        <w:t>хвороб</w:t>
      </w:r>
      <w:proofErr w:type="spellEnd"/>
      <w:r w:rsidRPr="00166B5E">
        <w:t xml:space="preserve"> тварин, що підлягає повідомленню (пункт 18 стаття 4 Регламенту (ЄС) 2016/429), </w:t>
      </w:r>
      <w:proofErr w:type="spellStart"/>
      <w:r w:rsidRPr="00166B5E">
        <w:t>хвороб</w:t>
      </w:r>
      <w:proofErr w:type="spellEnd"/>
      <w:r w:rsidRPr="00166B5E">
        <w:t xml:space="preserve"> тварин (пункт 16 статті 4 Регламенту (ЄС) 2016/429), експлуатаційного дозволу (пункт 1 статті 24 Регламенту №1069/2009), оператора ринку (пункт 11 статті 3 Регламенту №1069/2009), ризикового матеріалу (пункт g статті 3 Додаток 5 Регламенту (ЄС) № 999/2001) та шламу з центрифуги або сепаратора від переробки молока (пункт 26 статті 3 Регламенту №1069/2009).</w:t>
      </w:r>
    </w:p>
    <w:p w:rsidR="00250F59" w:rsidRPr="00166B5E" w:rsidRDefault="00250F59" w:rsidP="00166B5E">
      <w:pPr>
        <w:spacing w:line="240" w:lineRule="atLeast"/>
        <w:ind w:firstLine="708"/>
        <w:jc w:val="both"/>
      </w:pPr>
      <w:r w:rsidRPr="00166B5E">
        <w:t xml:space="preserve"> </w:t>
      </w:r>
      <w:r w:rsidRPr="00A83B50">
        <w:t xml:space="preserve">Проект Закону </w:t>
      </w:r>
      <w:r w:rsidRPr="00A83B50">
        <w:rPr>
          <w:b/>
        </w:rPr>
        <w:t>частково враховує</w:t>
      </w:r>
      <w:r w:rsidRPr="00A83B50">
        <w:t xml:space="preserve"> положення щодо: аутогенного імунобіологічного ветеринарного лікарського засобу (пункт 3 статті 2 Регламенту (ЄС) 2019/6), власника тварин (пункт 13 статті 4 Регламенту (ЄС) 2016/429), епізоотичної одиниці (стаття 4 пункт 39 Регламенту (ЄС) 2016/429), збільшених тварин (операції зі збірними тваринами) (пункт 49, статті 4 Регламенту (ЄС) 2016/429), збору тварин (операції зі збору тварин) (пункт 49 статті 4 Регламенту (ЄС) 2016/429), зон (пункт 35 статті 4 Регламенту (ЄС) 2016/429), карантинних тварин (стаття 4 Регламенту (ЄС) 2016/429), потужності оператора (пункт 24 статті 4 Регламенту (ЄС) 2016/429), потужності (пункт 27 статті 4 Регламенту (ЄС) 2016/429), товарів (пункт 11 статті 3 Регламенту (ЄС) 2017/625), користувачів тварин (пункт 12 статті 4 Регламенту (ЄС) 2016/429).</w:t>
      </w:r>
      <w:r w:rsidRPr="00166B5E">
        <w:t xml:space="preserve"> </w:t>
      </w:r>
    </w:p>
    <w:p w:rsidR="00250F59" w:rsidRPr="00166B5E" w:rsidRDefault="00250F59" w:rsidP="00166B5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166B5E">
        <w:rPr>
          <w:color w:val="auto"/>
          <w:sz w:val="28"/>
          <w:szCs w:val="28"/>
        </w:rPr>
        <w:t xml:space="preserve">Разом з тим, положення проекту Закону </w:t>
      </w:r>
      <w:r w:rsidRPr="00166B5E">
        <w:rPr>
          <w:b/>
          <w:color w:val="auto"/>
          <w:sz w:val="28"/>
          <w:szCs w:val="28"/>
        </w:rPr>
        <w:t xml:space="preserve">враховує акти законодавства ЄС </w:t>
      </w:r>
      <w:proofErr w:type="spellStart"/>
      <w:r w:rsidRPr="00166B5E">
        <w:rPr>
          <w:b/>
          <w:color w:val="auto"/>
          <w:sz w:val="28"/>
          <w:szCs w:val="28"/>
        </w:rPr>
        <w:t>шодо</w:t>
      </w:r>
      <w:proofErr w:type="spellEnd"/>
      <w:r w:rsidRPr="00166B5E">
        <w:rPr>
          <w:b/>
          <w:color w:val="auto"/>
          <w:sz w:val="28"/>
          <w:szCs w:val="28"/>
        </w:rPr>
        <w:t xml:space="preserve">: </w:t>
      </w:r>
    </w:p>
    <w:p w:rsidR="00250F59" w:rsidRPr="00166B5E" w:rsidRDefault="00250F59" w:rsidP="00166B5E">
      <w:pPr>
        <w:pStyle w:val="Default"/>
        <w:jc w:val="both"/>
        <w:rPr>
          <w:color w:val="auto"/>
          <w:sz w:val="28"/>
          <w:szCs w:val="28"/>
        </w:rPr>
      </w:pPr>
      <w:r w:rsidRPr="00166B5E">
        <w:rPr>
          <w:color w:val="auto"/>
          <w:sz w:val="28"/>
          <w:szCs w:val="28"/>
        </w:rPr>
        <w:t>1) за</w:t>
      </w:r>
      <w:r w:rsidR="00166B5E">
        <w:rPr>
          <w:color w:val="auto"/>
          <w:sz w:val="28"/>
          <w:szCs w:val="28"/>
        </w:rPr>
        <w:t>хисту здоров’я тварин в частині</w:t>
      </w:r>
      <w:r w:rsidRPr="00166B5E">
        <w:rPr>
          <w:color w:val="auto"/>
          <w:sz w:val="28"/>
          <w:szCs w:val="28"/>
        </w:rPr>
        <w:t xml:space="preserve">: </w:t>
      </w:r>
      <w:proofErr w:type="spellStart"/>
      <w:r w:rsidRPr="00166B5E">
        <w:rPr>
          <w:color w:val="auto"/>
          <w:sz w:val="28"/>
          <w:szCs w:val="28"/>
        </w:rPr>
        <w:t>хвороб</w:t>
      </w:r>
      <w:proofErr w:type="spellEnd"/>
      <w:r w:rsidRPr="00166B5E">
        <w:rPr>
          <w:color w:val="auto"/>
          <w:sz w:val="28"/>
          <w:szCs w:val="28"/>
        </w:rPr>
        <w:t xml:space="preserve"> тварин, що підлягають повідомленню (стаття 5 Регламенту (ЄС) 2016/429), емерджентних </w:t>
      </w:r>
      <w:proofErr w:type="spellStart"/>
      <w:r w:rsidRPr="00166B5E">
        <w:rPr>
          <w:color w:val="auto"/>
          <w:sz w:val="28"/>
          <w:szCs w:val="28"/>
        </w:rPr>
        <w:t>хвороб</w:t>
      </w:r>
      <w:proofErr w:type="spellEnd"/>
      <w:r w:rsidRPr="00166B5E">
        <w:rPr>
          <w:color w:val="auto"/>
          <w:sz w:val="28"/>
          <w:szCs w:val="28"/>
        </w:rPr>
        <w:t xml:space="preserve"> тварин (стаття 6 Регламенту (ЄС) 2016/429), сприйнятливих видів тварин (стаття 8 Регламенту (ЄС) 2016/429), моніторингу </w:t>
      </w:r>
      <w:proofErr w:type="spellStart"/>
      <w:r w:rsidRPr="00166B5E">
        <w:rPr>
          <w:color w:val="auto"/>
          <w:sz w:val="28"/>
          <w:szCs w:val="28"/>
        </w:rPr>
        <w:t>хвороб</w:t>
      </w:r>
      <w:proofErr w:type="spellEnd"/>
      <w:r w:rsidRPr="00166B5E">
        <w:rPr>
          <w:color w:val="auto"/>
          <w:sz w:val="28"/>
          <w:szCs w:val="28"/>
        </w:rPr>
        <w:t xml:space="preserve"> тварин (пункт 1 статті 28, пункт 2 статті 26 та статті 27 Регламенту (ЄС) 2016/429), планів ліквідації </w:t>
      </w:r>
      <w:proofErr w:type="spellStart"/>
      <w:r w:rsidRPr="00166B5E">
        <w:rPr>
          <w:color w:val="auto"/>
          <w:sz w:val="28"/>
          <w:szCs w:val="28"/>
        </w:rPr>
        <w:t>хвороб</w:t>
      </w:r>
      <w:proofErr w:type="spellEnd"/>
      <w:r w:rsidRPr="00166B5E">
        <w:rPr>
          <w:color w:val="auto"/>
          <w:sz w:val="28"/>
          <w:szCs w:val="28"/>
        </w:rPr>
        <w:t xml:space="preserve"> тварин, що підлягають повідомленню (пункт 1 статті 31, пункт 1 стаття 32 та стаття 33 Регламенту (ЄС) 2016/429), обов’язків утримувачів тварин щодо захисту здоров’я тварин (стаття 24 Регламенту (ЄС) 2016/429, пункт 1 статті 10 Регламенту (ЄС) 2016/429, пункт 1 статті 18 Регламенту (ЄС) 2016/429 та пункт 1 статті 25 Регламенту (ЄС) 2016/429), вимог щодо ведення записів (пункт 1, пункт 2, пункт 3, пункт 4 статті 102, пункт 1 статті 103 Регламенту (ЄС) 2016/429, пункт 1 статті 104 Регламенту (ЄС) 2016/429, пункт 1 статті 105 Регламенту (ЄС) 2016/429, пункт 1, пункт 2 статті 121 Регламенту (ЄС) 2016/429, пункт 1 статті 186 Регламенту (ЄС) 2016/429, пункт 1 статті 187 Регламенту (ЄС) 2016/429, пункт 1 статті 188 Реглам</w:t>
      </w:r>
      <w:r w:rsidR="00A83B50">
        <w:rPr>
          <w:color w:val="auto"/>
          <w:sz w:val="28"/>
          <w:szCs w:val="28"/>
        </w:rPr>
        <w:t>енту (ЄС) 2016/429);</w:t>
      </w:r>
      <w:r w:rsidRPr="00166B5E">
        <w:rPr>
          <w:color w:val="auto"/>
          <w:sz w:val="28"/>
          <w:szCs w:val="28"/>
        </w:rPr>
        <w:t xml:space="preserve"> </w:t>
      </w:r>
    </w:p>
    <w:p w:rsidR="00166B5E" w:rsidRDefault="00250F59" w:rsidP="00166B5E">
      <w:pPr>
        <w:pStyle w:val="Default"/>
        <w:jc w:val="both"/>
        <w:rPr>
          <w:color w:val="auto"/>
          <w:sz w:val="28"/>
          <w:szCs w:val="28"/>
        </w:rPr>
      </w:pPr>
      <w:r w:rsidRPr="00166B5E">
        <w:rPr>
          <w:color w:val="auto"/>
          <w:sz w:val="28"/>
          <w:szCs w:val="28"/>
        </w:rPr>
        <w:t xml:space="preserve">2) карантину тварин в частині: </w:t>
      </w:r>
      <w:r w:rsidR="00337CC9" w:rsidRPr="00166B5E">
        <w:rPr>
          <w:color w:val="auto"/>
          <w:sz w:val="28"/>
          <w:szCs w:val="28"/>
        </w:rPr>
        <w:t xml:space="preserve">епізоотичне </w:t>
      </w:r>
      <w:r w:rsidRPr="00166B5E">
        <w:rPr>
          <w:color w:val="auto"/>
          <w:sz w:val="28"/>
          <w:szCs w:val="28"/>
        </w:rPr>
        <w:t xml:space="preserve">розслідування (пункт 1, 2 статті 54 та пункт 2 стаття 57 Регламент (ЄС) 2016/429), ліквідації спалаху хвороби тварин, що підлягає повідомленню (пункт 1 статті 68, пункт 3 статті 61 Регламенту (ЄС) 2016/429) та карантинних заходів (карантинні обмеження) (пункт 1 статті 65, </w:t>
      </w:r>
      <w:r w:rsidRPr="00166B5E">
        <w:rPr>
          <w:color w:val="auto"/>
          <w:sz w:val="28"/>
          <w:szCs w:val="28"/>
        </w:rPr>
        <w:lastRenderedPageBreak/>
        <w:t>пункт 3 статті 62, пункт 3 статті 64, пункт 1 пункт 3 статті 65, пункт 1 пункт 2 статті 69 Регламенту (ЄС) 2016/429), враховуючи, що український перелік заходів щодо боротьби з хворобами є більш детальним, ніж у Регламенті ЄС, пункт g) не згадується в українському списку, оскільки це питання ре</w:t>
      </w:r>
      <w:r w:rsidR="00A83B50">
        <w:rPr>
          <w:color w:val="auto"/>
          <w:sz w:val="28"/>
          <w:szCs w:val="28"/>
        </w:rPr>
        <w:t>гулюється іншим Законом України;</w:t>
      </w:r>
      <w:r w:rsidRPr="00166B5E">
        <w:rPr>
          <w:color w:val="auto"/>
          <w:sz w:val="28"/>
          <w:szCs w:val="28"/>
        </w:rPr>
        <w:t xml:space="preserve"> </w:t>
      </w:r>
    </w:p>
    <w:p w:rsidR="00166B5E" w:rsidRDefault="00250F59" w:rsidP="00166B5E">
      <w:pPr>
        <w:pStyle w:val="Default"/>
        <w:jc w:val="both"/>
        <w:rPr>
          <w:color w:val="auto"/>
          <w:sz w:val="28"/>
          <w:szCs w:val="28"/>
        </w:rPr>
      </w:pPr>
      <w:r w:rsidRPr="00166B5E">
        <w:rPr>
          <w:color w:val="auto"/>
          <w:sz w:val="28"/>
          <w:szCs w:val="28"/>
        </w:rPr>
        <w:t xml:space="preserve">3) благополуччя тварин в частині: основних засад забезпечення благополуччя тварин під час утримання (пункт 1 пункт 2, статті 1, стаття 2, стаття 3 Директиви Ради 98/58), вимог до утримання свійських тварин на </w:t>
      </w:r>
      <w:proofErr w:type="spellStart"/>
      <w:r w:rsidRPr="00166B5E">
        <w:rPr>
          <w:color w:val="auto"/>
          <w:sz w:val="28"/>
          <w:szCs w:val="28"/>
        </w:rPr>
        <w:t>потужностях</w:t>
      </w:r>
      <w:proofErr w:type="spellEnd"/>
      <w:r w:rsidRPr="00166B5E">
        <w:rPr>
          <w:color w:val="auto"/>
          <w:sz w:val="28"/>
          <w:szCs w:val="28"/>
        </w:rPr>
        <w:t xml:space="preserve"> (Додаток Директиви Ради 98/58), вимог до </w:t>
      </w:r>
      <w:proofErr w:type="spellStart"/>
      <w:r w:rsidRPr="00166B5E">
        <w:rPr>
          <w:color w:val="auto"/>
          <w:sz w:val="28"/>
          <w:szCs w:val="28"/>
        </w:rPr>
        <w:t>потужностей</w:t>
      </w:r>
      <w:proofErr w:type="spellEnd"/>
      <w:r w:rsidRPr="00166B5E">
        <w:rPr>
          <w:color w:val="auto"/>
          <w:sz w:val="28"/>
          <w:szCs w:val="28"/>
        </w:rPr>
        <w:t>, де утримуються свійські тварини (Додаток Директиви Ради 98/58), вимог до годування, поїння та використання інших речовин (Додаток Директиви Ради 98/58), вимог до забезпечення благополуччя свійських тварин під час їх розведення (Додаток Директиви Ради 98/58), вимог до забезпечення благополуччя тварин під час їх транспортування (стаття 3, пункт 5 статті 1 Регламенту Ради (ЄС) № 1/2005), хоча в цьому пункті не визначено, що він застосовується лише для перевезення тварин у зв'язку з господарською діяльністю, слід зазначити, що вся ста</w:t>
      </w:r>
      <w:r w:rsidR="00A83B50">
        <w:rPr>
          <w:color w:val="auto"/>
          <w:sz w:val="28"/>
          <w:szCs w:val="28"/>
        </w:rPr>
        <w:t>ття стосується лише підприємців;</w:t>
      </w:r>
    </w:p>
    <w:p w:rsidR="00166B5E" w:rsidRDefault="00166B5E" w:rsidP="00166B5E">
      <w:pPr>
        <w:pStyle w:val="Default"/>
        <w:jc w:val="both"/>
        <w:rPr>
          <w:color w:val="auto"/>
          <w:sz w:val="28"/>
          <w:szCs w:val="28"/>
        </w:rPr>
      </w:pPr>
      <w:r w:rsidRPr="00166B5E">
        <w:rPr>
          <w:color w:val="auto"/>
          <w:sz w:val="28"/>
          <w:szCs w:val="28"/>
        </w:rPr>
        <w:t xml:space="preserve">4) державного регулювання утримання та обігу тварин, виробництва та обігу репродуктивного матеріалу, побічних продуктів тваринного походження та біологічних продуктів в частині : вимог до переміщення тварин (пункт 1, пункт 2, стаття 124, пункт 1 статті 137, пункт 1 статті 125, пункт 1 статті 127, стаття 128, Регламенту (ЄС) 2016/429), вимог до діяльності зі збору свійських копитних тварин та птиці (стаття 134 Регламенту (ЄС) 2016/429, пункт 2 статті 133 Регламенту (ЄС) 2016/429), затвердження тваринницьких </w:t>
      </w:r>
      <w:proofErr w:type="spellStart"/>
      <w:r w:rsidRPr="00166B5E">
        <w:rPr>
          <w:color w:val="auto"/>
          <w:sz w:val="28"/>
          <w:szCs w:val="28"/>
        </w:rPr>
        <w:t>потужностей</w:t>
      </w:r>
      <w:proofErr w:type="spellEnd"/>
      <w:r w:rsidRPr="00166B5E">
        <w:rPr>
          <w:color w:val="auto"/>
          <w:sz w:val="28"/>
          <w:szCs w:val="28"/>
        </w:rPr>
        <w:t xml:space="preserve"> для цілей експорту, імпорту та здійснення діяльності, що становить підвищений ризик (пункт 1 статті 94, пункт 1, пункт 2 статті 176, стаття 95, стаття 179, пункт 1, пункт 3, пункт 4 статті 94, пункт 1 статті 96 , пункту 2, пункт 4, пункт 5 статті 99, пункт 1, статті 97, пункт 4 пункт 5 статті 99, пункт 2 статті 100, пункт 1, пункт 2 статт</w:t>
      </w:r>
      <w:r w:rsidR="00A83B50">
        <w:rPr>
          <w:color w:val="auto"/>
          <w:sz w:val="28"/>
          <w:szCs w:val="28"/>
        </w:rPr>
        <w:t>і 101 Регламенту (ЄС) 2016/429);</w:t>
      </w:r>
      <w:r w:rsidRPr="00166B5E">
        <w:rPr>
          <w:color w:val="auto"/>
          <w:sz w:val="28"/>
          <w:szCs w:val="28"/>
        </w:rPr>
        <w:t xml:space="preserve"> </w:t>
      </w:r>
    </w:p>
    <w:p w:rsidR="00166B5E" w:rsidRPr="00166B5E" w:rsidRDefault="00166B5E" w:rsidP="00166B5E">
      <w:pPr>
        <w:pStyle w:val="Default"/>
        <w:jc w:val="both"/>
        <w:rPr>
          <w:color w:val="auto"/>
          <w:sz w:val="28"/>
          <w:szCs w:val="28"/>
        </w:rPr>
      </w:pPr>
      <w:r w:rsidRPr="00166B5E">
        <w:rPr>
          <w:color w:val="auto"/>
          <w:sz w:val="28"/>
          <w:szCs w:val="28"/>
        </w:rPr>
        <w:t xml:space="preserve">5) виробництва, обігу та застосування ветеринарних препаратів в частині: загальних вимог щодо державної реєстрації ветеринарних лікарських засобів (пункт 1, пункт 2, пункт 4, пункт 5, пункт 6 статті 5 та пункт 1 статті 58 Регламенту (ЄС) 2019/6), порядку державної реєстрації ветеринарних лікарських засобів (пункт 1, пункт 4 статті 5, пункт 1-5 статті 8, пункт 4, пункт 5 статті 6, пункт 2 статті 44, пункт 1 статті 28, пункт 1, пункт 2 статті 29, стаття 31, пункт 1, пункт 2 статті 33 , пункт 1, пункт 2 статті 37 Положення (ЄС) 2019/6), особливостей державної реєстрації </w:t>
      </w:r>
      <w:proofErr w:type="spellStart"/>
      <w:r w:rsidRPr="00166B5E">
        <w:rPr>
          <w:color w:val="auto"/>
          <w:sz w:val="28"/>
          <w:szCs w:val="28"/>
        </w:rPr>
        <w:t>генеричних</w:t>
      </w:r>
      <w:proofErr w:type="spellEnd"/>
      <w:r w:rsidRPr="00166B5E">
        <w:rPr>
          <w:color w:val="auto"/>
          <w:sz w:val="28"/>
          <w:szCs w:val="28"/>
        </w:rPr>
        <w:t xml:space="preserve"> ветеринарних лікарських засобів (пункт 1-4, пункт 6 статті 18 Регламенту (ЄС) 2019/6), особливостей державної реєстрації гібридних ветеринарних лікарських засобів (пункт 1, пункт 2, статті 19 Регламенту (ЄС) 2019/6), особливостей державної реєстрації комбінованих ветеринарних лікарських засобів (стаття 20 Регламенту (ЄС) 2019/6), особливостей державної реєстрації ветеринарних лікарських засобів на підставі письмового дозволу (стаття 20 Регламенту (ЄС) 2019/6), особливостей державної реєстрації ветеринарних лікарських засобів на підставі бібліографічних даних (пункт 1, пункт 2 статті 22 Регламенту (ЄС) 2019/6), особливостей державної реєстрації гомеопатичних ветеринарних лікарських засобів (пункт 1, пункт 2, </w:t>
      </w:r>
      <w:r w:rsidRPr="00166B5E">
        <w:rPr>
          <w:color w:val="auto"/>
          <w:sz w:val="28"/>
          <w:szCs w:val="28"/>
        </w:rPr>
        <w:lastRenderedPageBreak/>
        <w:t>пункт 6 статті 86, пункт 4 статті 87, Регламенту (ЄС) 2019/6), захисту інформації, що міститься в реєстраційному досьє (пункт 1 статті 38, пункт 1, пункт 2 статті 39, пункт 1, пункт 2 статті 55, пункт 3 статті 56, пункт 1, пункт 2 статті 60, пункт 3, пункт 4 , пункт 10, пункт 11 статті 66 , пункт 1, пункти 3, пункт 4 статті 130 Регламенту (ЄС) 2019/6), лікувальних кормів та проміжні продукти для виробництва лікувальних кормів (стаття 1, стаття 5, стаття 6, стаття 7, стаття 13 Регламенту (ЄС) 2019/4), виробництва ветеринарних лікарських засобів (стаття 93, стаття 95, стаття 96 Регламенту (ЄС) 2019/6), Державного реєстру операторів ринку ветеринарних препаратів (стаття 91 Регламенту (ЄС) 2019/6), ліцензування виробництва та імпорту ветеринарних лікарських засобів (стаття 88, стаття 90, стаття 92 Регламенту (ЄС) 2019/6),</w:t>
      </w:r>
      <w:r w:rsidRPr="00166B5E">
        <w:rPr>
          <w:sz w:val="28"/>
          <w:szCs w:val="28"/>
        </w:rPr>
        <w:t xml:space="preserve"> </w:t>
      </w:r>
      <w:r w:rsidRPr="00166B5E">
        <w:rPr>
          <w:color w:val="auto"/>
          <w:sz w:val="28"/>
          <w:szCs w:val="28"/>
        </w:rPr>
        <w:t xml:space="preserve">кваліфікованої особи, відповідальної за виробництво та імпорт ветеринарних лікарських засобів (стаття 97 Регламенту (ЄС) 2019/6), маркування на первинному пакуванні (стаття 10, стаття 12 Регламенту (ЄС) 2019/6), маркування на вторинному пакуванні (стаття 11, стаття 13 Регламенту (ЄС) 2019/6), обігу ветеринарних лікарських засобів (стаття 7, стаття 14, стаття 99, стаття 103, стаття 100 Регламенту (ЄС) 2019/6), експорту ветеринарних лікарських засобів (стаття 88, стаття 99, стаття 4, стаття 98, стаття 104 Регламенту (ЄС) 2019/6), реалізації ветеринарних лікарських засобів дистанційним способом (стаття 104 Регламенту (ЄС) 2019/6), ветеринарних лікарських засобів, що відпускаються за рецептом (стаття 34, стаття 105 Регламенту (ЄС) 2019/6), застосування ветеринарних лікарських засобів (стаття 106, стаття 107, стаття 112 Регламенту (ЄС) 2019/6), обов’язків операторів ринку ветеринарних препаратів (стаття 58, стаття 93, стаття 127, стаття 101, стаття 103, стаття 128 Регламенту (ЄС) 2019/6), ведення записів власниками (утримувачами) продуктивних тварин (стаття 108 Регламенту (ЄС) 2019/6), ветеринарного фармакологічного нагляду(стаття 73, стаття 74, стаття 75, стаття 76 Регламенту (ЄС) 2019/6), обов’язків операторів ринку ветеринарних препаратів щодо ветеринарного фармакологічного нагляду (стаття 77, стаття 81 Регламенту (ЄС) 2019/6), кваліфікованої особи, відповідальної за фармакологічний нагляд (стаття 78, стаття 77 Регламент (ЄС) 2019/6). </w:t>
      </w:r>
    </w:p>
    <w:p w:rsidR="00166B5E" w:rsidRPr="00A83B50" w:rsidRDefault="00166B5E" w:rsidP="00337CC9">
      <w:pPr>
        <w:pStyle w:val="Default"/>
        <w:ind w:firstLine="708"/>
        <w:jc w:val="both"/>
        <w:rPr>
          <w:sz w:val="28"/>
          <w:szCs w:val="28"/>
        </w:rPr>
      </w:pPr>
      <w:r w:rsidRPr="00166B5E">
        <w:rPr>
          <w:color w:val="auto"/>
          <w:sz w:val="28"/>
          <w:szCs w:val="28"/>
        </w:rPr>
        <w:t xml:space="preserve">Також, проект Закону </w:t>
      </w:r>
      <w:r w:rsidRPr="00337CC9">
        <w:rPr>
          <w:b/>
          <w:color w:val="auto"/>
          <w:sz w:val="28"/>
          <w:szCs w:val="28"/>
        </w:rPr>
        <w:t>відповідає актам права ЄС, а саме в частині</w:t>
      </w:r>
      <w:r w:rsidRPr="00166B5E">
        <w:rPr>
          <w:color w:val="auto"/>
          <w:sz w:val="28"/>
          <w:szCs w:val="28"/>
        </w:rPr>
        <w:t xml:space="preserve"> (пер</w:t>
      </w:r>
      <w:r w:rsidR="00A83B50">
        <w:rPr>
          <w:color w:val="auto"/>
          <w:sz w:val="28"/>
          <w:szCs w:val="28"/>
        </w:rPr>
        <w:t>ехідні та прикінцеві положення)</w:t>
      </w:r>
      <w:r w:rsidRPr="00166B5E">
        <w:rPr>
          <w:color w:val="auto"/>
          <w:sz w:val="28"/>
          <w:szCs w:val="28"/>
        </w:rPr>
        <w:t xml:space="preserve">: державного контролю за ветеринарними препаратами, діючими речовинами та засобами ветеринарної медицини (пункт 1-3, пункт 5 статті 123, пункт 1 статті 94, пункт 1 статті 127, пункт 2, пункт 5, пункт 6 статті 128 Регламенту (ЄС) 2019/6), ввезення живих тварин, які підлягають індивідуальній ідентифікації (пункт 4 статті 3 Регламенту 2019/2130), фізичної перевірки вантажів із живими тваринами (Пункт 1 статті 4, Додаток 1 Регламенту 2019/2130), реєстру країн та </w:t>
      </w:r>
      <w:proofErr w:type="spellStart"/>
      <w:r w:rsidRPr="00166B5E">
        <w:rPr>
          <w:color w:val="auto"/>
          <w:sz w:val="28"/>
          <w:szCs w:val="28"/>
        </w:rPr>
        <w:t>потужностей</w:t>
      </w:r>
      <w:proofErr w:type="spellEnd"/>
      <w:r w:rsidRPr="00166B5E">
        <w:rPr>
          <w:color w:val="auto"/>
          <w:sz w:val="28"/>
          <w:szCs w:val="28"/>
        </w:rPr>
        <w:t xml:space="preserve">, з яких дозволяється ввезення (пересилання) продуктів та живих тварин на митну територію України (пункт 2 статті 126 Регламенту (ЄС) 2017/625), побічних продуктів тваринного походження, що належать до категорії III (стаття 10 Регламенту №1069/2009), побічних продуктів тваринного походження, що належать до категорії I (статті 12 Регламенту №1069/2009), поводження з побічними продуктами тваринного походження, що належать до категорії III (статті 14, стаття 17, стаття 18 Регламенту №1069/2009), експлуатаційного дозволу (стаття 24 Регламенту №1069/2009), державної реєстрації </w:t>
      </w:r>
      <w:proofErr w:type="spellStart"/>
      <w:r w:rsidRPr="00166B5E">
        <w:rPr>
          <w:color w:val="auto"/>
          <w:sz w:val="28"/>
          <w:szCs w:val="28"/>
        </w:rPr>
        <w:t>потужностей</w:t>
      </w:r>
      <w:proofErr w:type="spellEnd"/>
      <w:r w:rsidRPr="00166B5E">
        <w:rPr>
          <w:color w:val="auto"/>
          <w:sz w:val="28"/>
          <w:szCs w:val="28"/>
        </w:rPr>
        <w:t xml:space="preserve"> (об’єктів) (стаття 23 Регламенту </w:t>
      </w:r>
      <w:r w:rsidRPr="00166B5E">
        <w:rPr>
          <w:color w:val="auto"/>
          <w:sz w:val="28"/>
          <w:szCs w:val="28"/>
        </w:rPr>
        <w:lastRenderedPageBreak/>
        <w:t xml:space="preserve">№1069/2009) та реклами ветеринарних лікарських засобів та лікувальних кормів (стаття 11 Регламенту (ЄС) 2019/4, стаття 119, стаття 120 Регламенту (ЄС) 2019/6). </w:t>
      </w:r>
      <w:r w:rsidRPr="003F4EC3">
        <w:rPr>
          <w:color w:val="auto"/>
          <w:sz w:val="28"/>
          <w:szCs w:val="28"/>
          <w:u w:val="single"/>
        </w:rPr>
        <w:t>Разом з тим, різниця з відповідним положенням Регламенту (ЄС) 2016/429 положення щодо підозри спалаху хвороби тварин, що підлягає</w:t>
      </w:r>
      <w:r w:rsidRPr="003F4EC3">
        <w:rPr>
          <w:sz w:val="28"/>
          <w:szCs w:val="28"/>
          <w:u w:val="single"/>
        </w:rPr>
        <w:t xml:space="preserve"> представленню (пункт 1 статті 18 Регламенту (ЄС) 2016/429) полягає в тому, що згідно із законопроектом про ненормальну смертність необхідно повідомляти компетентний орган замість ветеринарів.</w:t>
      </w:r>
      <w:r w:rsidRPr="00A83B50">
        <w:rPr>
          <w:sz w:val="28"/>
          <w:szCs w:val="28"/>
        </w:rPr>
        <w:t xml:space="preserve"> </w:t>
      </w:r>
    </w:p>
    <w:p w:rsidR="00166B5E" w:rsidRPr="00A83B50" w:rsidRDefault="00166B5E" w:rsidP="00337C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3B50">
        <w:rPr>
          <w:rFonts w:eastAsiaTheme="minorHAnsi"/>
          <w:b/>
          <w:lang w:eastAsia="en-US"/>
        </w:rPr>
        <w:t>Частково дотримано законодавство ЄС щодо підтвердження спалаху хвороби тварин, що підлягає повідомленню, та запровадження карантину тварин</w:t>
      </w:r>
      <w:r w:rsidRPr="00A83B50">
        <w:rPr>
          <w:rFonts w:eastAsiaTheme="minorHAnsi"/>
          <w:lang w:eastAsia="en-US"/>
        </w:rPr>
        <w:t xml:space="preserve"> (пункт 1, пункт 2 статті 58 та пункт 1 статті 64, пункт 1 статті 62 та пункт 2 статті 65, пункт 3 статті 62 та пункт 3 статті 64 Регламенту (ЄС) 2016/429 та пункт 1 статті 3 Директиви Ради 82/894). </w:t>
      </w:r>
    </w:p>
    <w:p w:rsidR="00166B5E" w:rsidRPr="00A83B50" w:rsidRDefault="00166B5E" w:rsidP="00337C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3B50">
        <w:rPr>
          <w:rFonts w:eastAsiaTheme="minorHAnsi"/>
          <w:b/>
          <w:lang w:eastAsia="en-US"/>
        </w:rPr>
        <w:t>Частково дотримано законодавство ЄС щодо вимог до забезпечення благополуччя тварини під час забою</w:t>
      </w:r>
      <w:r w:rsidRPr="00A83B50">
        <w:rPr>
          <w:rFonts w:eastAsiaTheme="minorHAnsi"/>
          <w:lang w:eastAsia="en-US"/>
        </w:rPr>
        <w:t xml:space="preserve"> (пункт 1, пункт 2 статті 3, пункт 3 статті 1 Регламенту Ради (ЄС) № 1099/2009), оскільки проект Закону не поширюватиметься на релігійні вбивства, тоді як законодавством ЄС передбачається це звільнення лише у випадках проголошення за умови, що забій відбувається у бійні (пункт 4 статті 4 Регламенту Ради (ЄС) № 1099/2009). </w:t>
      </w:r>
    </w:p>
    <w:p w:rsidR="00166B5E" w:rsidRPr="00A83B50" w:rsidRDefault="00166B5E" w:rsidP="00337C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3B50">
        <w:rPr>
          <w:rFonts w:eastAsiaTheme="minorHAnsi"/>
          <w:lang w:eastAsia="en-US"/>
        </w:rPr>
        <w:t xml:space="preserve">В свою чергу, положення проекту Закону </w:t>
      </w:r>
      <w:r w:rsidRPr="00A83B50">
        <w:rPr>
          <w:rFonts w:eastAsiaTheme="minorHAnsi"/>
          <w:b/>
          <w:lang w:eastAsia="en-US"/>
        </w:rPr>
        <w:t xml:space="preserve">щодо державної реєстрації тваринницьких </w:t>
      </w:r>
      <w:proofErr w:type="spellStart"/>
      <w:r w:rsidRPr="00A83B50">
        <w:rPr>
          <w:rFonts w:eastAsiaTheme="minorHAnsi"/>
          <w:b/>
          <w:lang w:eastAsia="en-US"/>
        </w:rPr>
        <w:t>потужностей</w:t>
      </w:r>
      <w:proofErr w:type="spellEnd"/>
      <w:r w:rsidRPr="00A83B50">
        <w:rPr>
          <w:rFonts w:eastAsiaTheme="minorHAnsi"/>
          <w:b/>
          <w:lang w:eastAsia="en-US"/>
        </w:rPr>
        <w:t xml:space="preserve"> та операторів ринку</w:t>
      </w:r>
      <w:r w:rsidRPr="00A83B50">
        <w:rPr>
          <w:rFonts w:eastAsiaTheme="minorHAnsi"/>
          <w:lang w:eastAsia="en-US"/>
        </w:rPr>
        <w:t xml:space="preserve"> (пункт 1, пункт 3 статті 84, пункт статті 87, пункт 1 статті 90, статті 93, пункту 4, статті 172 Регламент (ЄС) 2016/429) </w:t>
      </w:r>
      <w:r w:rsidRPr="00A83B50">
        <w:rPr>
          <w:rFonts w:eastAsiaTheme="minorHAnsi"/>
          <w:b/>
          <w:lang w:eastAsia="en-US"/>
        </w:rPr>
        <w:t>частково відповідають законодавству ЄС,</w:t>
      </w:r>
      <w:r w:rsidRPr="00A83B50">
        <w:rPr>
          <w:rFonts w:eastAsiaTheme="minorHAnsi"/>
          <w:lang w:eastAsia="en-US"/>
        </w:rPr>
        <w:t xml:space="preserve"> оскільки відповідно до Регламенту ЄС це положення поширюється лише на заклади аквакультури, тоді як згідно із законопроектом це ж положення може застосовуватися і до інших тваринних закладів. </w:t>
      </w:r>
    </w:p>
    <w:p w:rsidR="00166B5E" w:rsidRPr="00A83B50" w:rsidRDefault="00166B5E" w:rsidP="00337C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3B50">
        <w:rPr>
          <w:rFonts w:eastAsiaTheme="minorHAnsi"/>
          <w:lang w:eastAsia="en-US"/>
        </w:rPr>
        <w:t xml:space="preserve">Окрім цього, </w:t>
      </w:r>
      <w:r w:rsidRPr="00A83B50">
        <w:rPr>
          <w:rFonts w:eastAsiaTheme="minorHAnsi"/>
          <w:b/>
          <w:lang w:eastAsia="en-US"/>
        </w:rPr>
        <w:t xml:space="preserve">частково дотримано порядок державної реєстрації ветеринарних лікарських засобів </w:t>
      </w:r>
      <w:r w:rsidRPr="00A83B50">
        <w:rPr>
          <w:rFonts w:eastAsiaTheme="minorHAnsi"/>
          <w:lang w:eastAsia="en-US"/>
        </w:rPr>
        <w:t xml:space="preserve">(пункт 1, пункт 4 статті 5, пункт 1-5 статті 8, пункт 4, пункт 5, статті 6, пункт 2 статті 44 Регламенту (ЄС) 2019/6), оскільки для здійснення наукової оцінки (експертизи) ветеринарного лікарського засобу встановлено граничний термін у 180 днів, тоді як термін у Регламенті 2019/6 становить 210 днів. </w:t>
      </w:r>
    </w:p>
    <w:p w:rsidR="00166B5E" w:rsidRPr="00A83B50" w:rsidRDefault="00166B5E" w:rsidP="00337C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3B50">
        <w:rPr>
          <w:rFonts w:eastAsiaTheme="minorHAnsi"/>
          <w:b/>
          <w:lang w:eastAsia="en-US"/>
        </w:rPr>
        <w:t>Частково дотримано вимоги щодо клінічних досліджень</w:t>
      </w:r>
      <w:r w:rsidRPr="00A83B50">
        <w:rPr>
          <w:rFonts w:eastAsiaTheme="minorHAnsi"/>
          <w:lang w:eastAsia="en-US"/>
        </w:rPr>
        <w:t xml:space="preserve"> (випробувань) (пункт 2-6 статті 9, Регламенту (ЄС) 2019/6), оскільки кінцевий термін видачі схвалення </w:t>
      </w:r>
      <w:r w:rsidR="00CC0A8F" w:rsidRPr="00A83B50">
        <w:rPr>
          <w:rFonts w:eastAsiaTheme="minorHAnsi"/>
          <w:lang w:eastAsia="en-US"/>
        </w:rPr>
        <w:t xml:space="preserve">в </w:t>
      </w:r>
      <w:r w:rsidR="00CC0A8F">
        <w:rPr>
          <w:rFonts w:eastAsiaTheme="minorHAnsi"/>
          <w:lang w:eastAsia="en-US"/>
        </w:rPr>
        <w:t>законопроекті -</w:t>
      </w:r>
      <w:r w:rsidRPr="00A83B50">
        <w:rPr>
          <w:rFonts w:eastAsiaTheme="minorHAnsi"/>
          <w:lang w:eastAsia="en-US"/>
        </w:rPr>
        <w:t xml:space="preserve"> 30 днів замість 60</w:t>
      </w:r>
      <w:r w:rsidR="00CC0A8F">
        <w:rPr>
          <w:rFonts w:eastAsiaTheme="minorHAnsi"/>
          <w:lang w:eastAsia="en-US"/>
        </w:rPr>
        <w:t xml:space="preserve"> днів</w:t>
      </w:r>
      <w:r w:rsidR="003F4EC3">
        <w:rPr>
          <w:rFonts w:eastAsiaTheme="minorHAnsi"/>
          <w:lang w:eastAsia="en-US"/>
        </w:rPr>
        <w:t>, як закріплено</w:t>
      </w:r>
      <w:r w:rsidRPr="00A83B50">
        <w:rPr>
          <w:rFonts w:eastAsiaTheme="minorHAnsi"/>
          <w:lang w:eastAsia="en-US"/>
        </w:rPr>
        <w:t xml:space="preserve"> в Регламенті (ЄС) 2019/6. </w:t>
      </w:r>
    </w:p>
    <w:p w:rsidR="00166B5E" w:rsidRPr="00166B5E" w:rsidRDefault="00166B5E" w:rsidP="00337C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3B50">
        <w:rPr>
          <w:rFonts w:eastAsiaTheme="minorHAnsi"/>
          <w:b/>
          <w:lang w:eastAsia="en-US"/>
        </w:rPr>
        <w:t>Частково враховано положення щодо особливостей поводження з вантажами із живими тваринами, що ввозяться на митну територію України, які не відповідають законодавству</w:t>
      </w:r>
      <w:r w:rsidRPr="00A83B50">
        <w:rPr>
          <w:rFonts w:eastAsiaTheme="minorHAnsi"/>
          <w:lang w:eastAsia="en-US"/>
        </w:rPr>
        <w:t xml:space="preserve"> (пункт 1, пункт 3 статті 66 Регламенту (ЄС) 2017/625), оскільки проект Закону не зазначає особливого поводження з тваринами.</w:t>
      </w:r>
      <w:r w:rsidRPr="00166B5E">
        <w:rPr>
          <w:rFonts w:eastAsiaTheme="minorHAnsi"/>
          <w:lang w:eastAsia="en-US"/>
        </w:rPr>
        <w:t xml:space="preserve"> </w:t>
      </w:r>
    </w:p>
    <w:p w:rsidR="00166B5E" w:rsidRPr="00166B5E" w:rsidRDefault="00166B5E" w:rsidP="00337CC9">
      <w:pPr>
        <w:suppressAutoHyphens w:val="0"/>
        <w:ind w:firstLine="708"/>
        <w:jc w:val="both"/>
        <w:rPr>
          <w:rFonts w:eastAsiaTheme="minorHAnsi"/>
          <w:lang w:eastAsia="en-US"/>
        </w:rPr>
      </w:pPr>
      <w:r w:rsidRPr="00166B5E">
        <w:rPr>
          <w:rFonts w:eastAsiaTheme="minorHAnsi"/>
          <w:lang w:eastAsia="en-US"/>
        </w:rPr>
        <w:t>Враховуючи вищезазначене, проект Закону в цілому не суперечить цілям Угоди про асоціацію та права ЄС, однак містить окремі часткові невідповідності праву ЄС.</w:t>
      </w:r>
    </w:p>
    <w:p w:rsidR="00B01353" w:rsidRPr="00166B5E" w:rsidRDefault="00B01353" w:rsidP="00166B5E">
      <w:pPr>
        <w:jc w:val="both"/>
        <w:rPr>
          <w:rFonts w:eastAsia="Verdana"/>
          <w:b/>
          <w:bCs/>
        </w:rPr>
      </w:pPr>
    </w:p>
    <w:p w:rsidR="00B01353" w:rsidRPr="00166B5E" w:rsidRDefault="00B01353" w:rsidP="00166B5E">
      <w:pPr>
        <w:ind w:firstLine="708"/>
        <w:jc w:val="both"/>
      </w:pPr>
      <w:r w:rsidRPr="00166B5E">
        <w:rPr>
          <w:rFonts w:eastAsia="Verdana"/>
          <w:b/>
          <w:bCs/>
        </w:rPr>
        <w:t xml:space="preserve">4. </w:t>
      </w:r>
      <w:r w:rsidRPr="00166B5E">
        <w:rPr>
          <w:b/>
        </w:rPr>
        <w:t xml:space="preserve">Висновок Комітету з питань інтеграції України з Європейським Союзом. </w:t>
      </w:r>
    </w:p>
    <w:p w:rsidR="00A43705" w:rsidRPr="00166B5E" w:rsidRDefault="00A43705" w:rsidP="00A43705">
      <w:pPr>
        <w:suppressAutoHyphens w:val="0"/>
        <w:ind w:firstLine="708"/>
        <w:jc w:val="both"/>
        <w:rPr>
          <w:rFonts w:eastAsiaTheme="minorHAnsi"/>
          <w:lang w:eastAsia="en-US"/>
        </w:rPr>
      </w:pPr>
      <w:r w:rsidRPr="00166B5E">
        <w:rPr>
          <w:rFonts w:eastAsiaTheme="minorHAnsi"/>
          <w:lang w:eastAsia="en-US"/>
        </w:rPr>
        <w:lastRenderedPageBreak/>
        <w:t xml:space="preserve">Проект Закону в цілому </w:t>
      </w:r>
      <w:r w:rsidRPr="00FF6CCE">
        <w:rPr>
          <w:rFonts w:eastAsiaTheme="minorHAnsi"/>
          <w:b/>
          <w:lang w:eastAsia="en-US"/>
        </w:rPr>
        <w:t>не суперечить</w:t>
      </w:r>
      <w:r w:rsidRPr="00166B5E">
        <w:rPr>
          <w:rFonts w:eastAsiaTheme="minorHAnsi"/>
          <w:lang w:eastAsia="en-US"/>
        </w:rPr>
        <w:t xml:space="preserve"> цілям Угоди про асоціацію, однак </w:t>
      </w:r>
      <w:r w:rsidR="00CC0A8F">
        <w:rPr>
          <w:rFonts w:eastAsiaTheme="minorHAnsi"/>
          <w:lang w:eastAsia="en-US"/>
        </w:rPr>
        <w:t xml:space="preserve">потребує </w:t>
      </w:r>
      <w:r w:rsidR="003576A8" w:rsidRPr="003576A8">
        <w:rPr>
          <w:rFonts w:eastAsiaTheme="minorHAnsi"/>
          <w:b/>
          <w:lang w:eastAsia="en-US"/>
        </w:rPr>
        <w:t xml:space="preserve">суттєвого </w:t>
      </w:r>
      <w:r w:rsidR="00CC0A8F" w:rsidRPr="00FF6CCE">
        <w:rPr>
          <w:rFonts w:eastAsiaTheme="minorHAnsi"/>
          <w:b/>
          <w:lang w:eastAsia="en-US"/>
        </w:rPr>
        <w:t>доопрацювання</w:t>
      </w:r>
      <w:r w:rsidR="00CC0A8F">
        <w:rPr>
          <w:rFonts w:eastAsiaTheme="minorHAnsi"/>
          <w:lang w:eastAsia="en-US"/>
        </w:rPr>
        <w:t xml:space="preserve"> з метою </w:t>
      </w:r>
      <w:r w:rsidR="00FF6CCE">
        <w:rPr>
          <w:rFonts w:eastAsiaTheme="minorHAnsi"/>
          <w:lang w:eastAsia="en-US"/>
        </w:rPr>
        <w:t>врахування положень</w:t>
      </w:r>
      <w:r w:rsidR="00A64B5E">
        <w:rPr>
          <w:rFonts w:eastAsiaTheme="minorHAnsi"/>
          <w:lang w:eastAsia="en-US"/>
        </w:rPr>
        <w:t xml:space="preserve"> </w:t>
      </w:r>
      <w:r w:rsidR="00A64B5E" w:rsidRPr="00A83B50">
        <w:rPr>
          <w:rFonts w:eastAsiaTheme="minorHAnsi"/>
          <w:lang w:eastAsia="en-US"/>
        </w:rPr>
        <w:t>Регламенту (ЄС) 2016/429</w:t>
      </w:r>
      <w:r w:rsidR="00FF6CCE" w:rsidRPr="00FF6CCE">
        <w:t xml:space="preserve"> </w:t>
      </w:r>
      <w:r w:rsidR="00FF6CCE">
        <w:t>Європейського Парламенту та Ради від 09.03.2016 року «Про трансмісивні захворювання тварин та внесення змін та скасування певних дій у галузі охорони здоров'я тварин (“Закон про охорону тварин”)»</w:t>
      </w:r>
      <w:r w:rsidR="00FF6CCE">
        <w:rPr>
          <w:rFonts w:eastAsiaTheme="minorHAnsi"/>
          <w:lang w:eastAsia="en-US"/>
        </w:rPr>
        <w:t>,</w:t>
      </w:r>
      <w:r w:rsidR="004005E9" w:rsidRPr="004005E9">
        <w:rPr>
          <w:rFonts w:eastAsiaTheme="minorHAnsi"/>
          <w:lang w:eastAsia="en-US"/>
        </w:rPr>
        <w:t xml:space="preserve"> </w:t>
      </w:r>
      <w:r w:rsidR="004005E9" w:rsidRPr="00A83B50">
        <w:rPr>
          <w:rFonts w:eastAsiaTheme="minorHAnsi"/>
          <w:lang w:eastAsia="en-US"/>
        </w:rPr>
        <w:t>Директиви Ради 82/894</w:t>
      </w:r>
      <w:r w:rsidR="00FF6CCE" w:rsidRPr="00FF6CCE">
        <w:t xml:space="preserve"> </w:t>
      </w:r>
      <w:r w:rsidR="00FF6CCE" w:rsidRPr="00A64B5E">
        <w:t xml:space="preserve">від 21 грудня 1982 року щодо нотифікації випадків </w:t>
      </w:r>
      <w:proofErr w:type="spellStart"/>
      <w:r w:rsidR="00FF6CCE" w:rsidRPr="00A64B5E">
        <w:t>хвороб</w:t>
      </w:r>
      <w:proofErr w:type="spellEnd"/>
      <w:r w:rsidR="00FF6CCE" w:rsidRPr="00A64B5E">
        <w:t xml:space="preserve"> серед тварин у межах Співтовариства (82/894/EEC)</w:t>
      </w:r>
      <w:r w:rsidR="00FF6CCE">
        <w:rPr>
          <w:rFonts w:eastAsiaTheme="minorHAnsi"/>
          <w:lang w:eastAsia="en-US"/>
        </w:rPr>
        <w:t>,</w:t>
      </w:r>
      <w:r w:rsidR="00FF6CCE" w:rsidRPr="00FF6CCE">
        <w:rPr>
          <w:rFonts w:eastAsiaTheme="minorHAnsi"/>
          <w:lang w:eastAsia="en-US"/>
        </w:rPr>
        <w:t xml:space="preserve"> </w:t>
      </w:r>
      <w:r w:rsidR="00FF6CCE" w:rsidRPr="00A83B50">
        <w:rPr>
          <w:rFonts w:eastAsiaTheme="minorHAnsi"/>
          <w:lang w:eastAsia="en-US"/>
        </w:rPr>
        <w:t>Регламенту Ради (ЄС) № 1099/2009</w:t>
      </w:r>
      <w:r w:rsidR="00FF6CCE" w:rsidRPr="00FF6CCE">
        <w:t xml:space="preserve"> </w:t>
      </w:r>
      <w:r w:rsidR="00FF6CCE">
        <w:t>від 24 вересня 2009 року «Про захист тварин під час вбивства»</w:t>
      </w:r>
      <w:r w:rsidR="00FF6CCE">
        <w:rPr>
          <w:rFonts w:eastAsiaTheme="minorHAnsi"/>
          <w:lang w:eastAsia="en-US"/>
        </w:rPr>
        <w:t>,</w:t>
      </w:r>
      <w:r w:rsidR="00FF6CCE" w:rsidRPr="00FF6CCE">
        <w:rPr>
          <w:rFonts w:eastAsiaTheme="minorHAnsi"/>
          <w:lang w:eastAsia="en-US"/>
        </w:rPr>
        <w:t xml:space="preserve"> </w:t>
      </w:r>
      <w:r w:rsidR="00FF6CCE" w:rsidRPr="00A83B50">
        <w:rPr>
          <w:rFonts w:eastAsiaTheme="minorHAnsi"/>
          <w:lang w:eastAsia="en-US"/>
        </w:rPr>
        <w:t>Регламенту (ЄС) 2019/6</w:t>
      </w:r>
      <w:r w:rsidR="00FF6CCE" w:rsidRPr="00FF6CCE">
        <w:t xml:space="preserve"> </w:t>
      </w:r>
      <w:r w:rsidR="00FF6CCE">
        <w:t>Європейського Парламенту та Ради від 11.12.2018 року «Про ветеринарні лікарські засоби та скасування Директиви 2001/82/ЄС»</w:t>
      </w:r>
      <w:r w:rsidR="00FF6CCE">
        <w:rPr>
          <w:rFonts w:eastAsiaTheme="minorHAnsi"/>
          <w:lang w:eastAsia="en-US"/>
        </w:rPr>
        <w:t xml:space="preserve"> та </w:t>
      </w:r>
      <w:r w:rsidR="00FF6CCE" w:rsidRPr="00A83B50">
        <w:rPr>
          <w:rFonts w:eastAsiaTheme="minorHAnsi"/>
          <w:lang w:eastAsia="en-US"/>
        </w:rPr>
        <w:t>Регламенту (ЄС) 2017/625</w:t>
      </w:r>
      <w:r w:rsidR="00FF6CCE" w:rsidRPr="00FF6CCE">
        <w:t xml:space="preserve"> </w:t>
      </w:r>
      <w:r w:rsidR="00FF6CCE">
        <w:t>Європейського Парламенту та Ради від 15 березня 2017 року «Про офіційний контроль та інші офіційні заходи, що здійснюються з метою забезпечення застосування законодавства про харчові продукти та корми, правил щодо охорон</w:t>
      </w:r>
      <w:r w:rsidR="000729A4">
        <w:t xml:space="preserve">и здоров'я та добробуту тварин </w:t>
      </w:r>
      <w:r w:rsidR="00FF6CCE">
        <w:t>та засобів захисту рослин, що вносять зміни до Регламентів (ЄС) № 999/2001, (ЄС) № 396/2005, (ЄС) № 1069/2009, (ЄС) № 1107/2009, (ЄС) № 1151/2012, (ЄС) № 652/2014, (ЄС) 2016/429 та (ЄС) 2016/2031 Європейського Парламенту та Ради, Регламенти Ради (ЄС) № 1/2005 та (ЄС) № 1099/2009 та Директиви Ради 98/58/ЄС, 1999/74/ЄС, 2007/43/ЄС, 2008/119 / ЄС та 2008/120/ЄС та скасування Регламентів (ЄС) № 854/2004 та (ЄС) № 882/2004 Європейського Парламенту та Ради, Директиви Ради 89/608/ЄЕС, 89/662/ЄЕС, 90/425/ЄЕС , 91/496/ЄЕС, 96/2 /ЄС, 96/93/ЄС та 97/78/ЄС та Рішення Ради 92/438/ЄЕС (Регламент офіційного контролю)»</w:t>
      </w:r>
      <w:r w:rsidR="00FF6CCE">
        <w:rPr>
          <w:rFonts w:eastAsiaTheme="minorHAnsi"/>
          <w:lang w:eastAsia="en-US"/>
        </w:rPr>
        <w:t>.</w:t>
      </w:r>
    </w:p>
    <w:p w:rsidR="00C9509E" w:rsidRPr="00166B5E" w:rsidRDefault="00B01353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66B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B50" w:rsidRDefault="00C9509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66B5E">
        <w:rPr>
          <w:rFonts w:ascii="Times New Roman" w:hAnsi="Times New Roman" w:cs="Times New Roman"/>
          <w:bCs/>
          <w:sz w:val="28"/>
          <w:szCs w:val="28"/>
        </w:rPr>
        <w:tab/>
      </w:r>
    </w:p>
    <w:p w:rsidR="00A83B50" w:rsidRDefault="00A83B50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CE" w:rsidRDefault="00FF6CCE" w:rsidP="00166B5E">
      <w:pPr>
        <w:pStyle w:val="a5"/>
        <w:widowControl w:val="0"/>
        <w:tabs>
          <w:tab w:val="left" w:pos="540"/>
        </w:tabs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DA" w:rsidRPr="00166B5E" w:rsidRDefault="002574DA" w:rsidP="00166B5E">
      <w:pPr>
        <w:jc w:val="both"/>
        <w:rPr>
          <w:bCs/>
        </w:rPr>
      </w:pPr>
    </w:p>
    <w:sectPr w:rsidR="002574DA" w:rsidRPr="0016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540" w:left="1080" w:header="708" w:footer="34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AC" w:rsidRDefault="00A218AC">
      <w:r>
        <w:separator/>
      </w:r>
    </w:p>
  </w:endnote>
  <w:endnote w:type="continuationSeparator" w:id="0">
    <w:p w:rsidR="00A218AC" w:rsidRDefault="00A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8" w:rsidRDefault="009D42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8" w:rsidRDefault="00B01353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3810" t="635" r="254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2F8" w:rsidRDefault="009D42F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pt;height:16.0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dVlQIAABo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" stroked="f">
              <v:fill opacity="0"/>
              <v:textbox inset="0,0,0,0">
                <w:txbxContent>
                  <w:p w:rsidR="009D42F8" w:rsidRDefault="009D42F8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8" w:rsidRDefault="009D4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AC" w:rsidRDefault="00A218AC">
      <w:r>
        <w:separator/>
      </w:r>
    </w:p>
  </w:footnote>
  <w:footnote w:type="continuationSeparator" w:id="0">
    <w:p w:rsidR="00A218AC" w:rsidRDefault="00A2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8" w:rsidRDefault="009D42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8" w:rsidRDefault="009D42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8" w:rsidRDefault="009D4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  <w:caps w:val="0"/>
        <w:smallCaps w:val="0"/>
        <w:sz w:val="28"/>
        <w:szCs w:val="28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Verdana" w:hint="default"/>
      </w:rPr>
    </w:lvl>
  </w:abstractNum>
  <w:abstractNum w:abstractNumId="2" w15:restartNumberingAfterBreak="0">
    <w:nsid w:val="6C764532"/>
    <w:multiLevelType w:val="hybridMultilevel"/>
    <w:tmpl w:val="C2D60390"/>
    <w:lvl w:ilvl="0" w:tplc="E47ADE9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53"/>
    <w:rsid w:val="00003D50"/>
    <w:rsid w:val="000729A4"/>
    <w:rsid w:val="000D7870"/>
    <w:rsid w:val="00166B5E"/>
    <w:rsid w:val="001E722E"/>
    <w:rsid w:val="00250F59"/>
    <w:rsid w:val="002574DA"/>
    <w:rsid w:val="00337CC9"/>
    <w:rsid w:val="003576A8"/>
    <w:rsid w:val="003E51DF"/>
    <w:rsid w:val="003F4EC3"/>
    <w:rsid w:val="004005E9"/>
    <w:rsid w:val="005257CA"/>
    <w:rsid w:val="005D54A9"/>
    <w:rsid w:val="007D5801"/>
    <w:rsid w:val="0082563E"/>
    <w:rsid w:val="009D42F8"/>
    <w:rsid w:val="00A218AC"/>
    <w:rsid w:val="00A43705"/>
    <w:rsid w:val="00A64B5E"/>
    <w:rsid w:val="00A83B50"/>
    <w:rsid w:val="00AC5FC7"/>
    <w:rsid w:val="00B01353"/>
    <w:rsid w:val="00B45F56"/>
    <w:rsid w:val="00B913AD"/>
    <w:rsid w:val="00BA5A87"/>
    <w:rsid w:val="00C9509E"/>
    <w:rsid w:val="00CC0A8F"/>
    <w:rsid w:val="00FB4BF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4EDA"/>
  <w15:chartTrackingRefBased/>
  <w15:docId w15:val="{F11518B7-8F92-4EEF-9DE9-AA512DD4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03D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1353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B0135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Абзац списку1"/>
    <w:basedOn w:val="a"/>
    <w:rsid w:val="00B013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a5">
    <w:name w:val="Нормальний текст"/>
    <w:basedOn w:val="a"/>
    <w:rsid w:val="00B01353"/>
    <w:pPr>
      <w:spacing w:before="120"/>
      <w:ind w:firstLine="567"/>
      <w:jc w:val="both"/>
    </w:pPr>
    <w:rPr>
      <w:rFonts w:ascii="Antiqua" w:hAnsi="Antiqua" w:cs="Antiqua"/>
      <w:sz w:val="26"/>
      <w:szCs w:val="20"/>
    </w:rPr>
  </w:style>
  <w:style w:type="paragraph" w:customStyle="1" w:styleId="StyleZakonu">
    <w:name w:val="StyleZakonu"/>
    <w:basedOn w:val="a"/>
    <w:rsid w:val="00B01353"/>
    <w:pPr>
      <w:autoSpaceDE w:val="0"/>
      <w:spacing w:after="60" w:line="220" w:lineRule="exact"/>
      <w:ind w:firstLine="284"/>
      <w:jc w:val="both"/>
    </w:pPr>
    <w:rPr>
      <w:sz w:val="20"/>
      <w:szCs w:val="20"/>
    </w:rPr>
  </w:style>
  <w:style w:type="paragraph" w:styleId="a6">
    <w:name w:val="header"/>
    <w:basedOn w:val="a"/>
    <w:link w:val="a7"/>
    <w:rsid w:val="00B01353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ій колонтитул Знак"/>
    <w:basedOn w:val="a0"/>
    <w:link w:val="a6"/>
    <w:rsid w:val="00B0135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03D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D5801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D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A64B5E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semiHidden/>
    <w:rsid w:val="00A64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14612</Words>
  <Characters>8329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Протасенко Людмила Валентинівна</dc:creator>
  <cp:keywords/>
  <dc:description/>
  <cp:lastModifiedBy>Протасенко Людмила Валентинівна</cp:lastModifiedBy>
  <cp:revision>7</cp:revision>
  <dcterms:created xsi:type="dcterms:W3CDTF">2020-05-04T12:35:00Z</dcterms:created>
  <dcterms:modified xsi:type="dcterms:W3CDTF">2020-05-07T13:09:00Z</dcterms:modified>
</cp:coreProperties>
</file>